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80" w:lineRule="exact"/>
        <w:jc w:val="center"/>
        <w:textAlignment w:val="auto"/>
        <w:rPr>
          <w:rFonts w:hint="default" w:ascii="Times New Roman" w:hAnsi="Times New Roman" w:eastAsia="方正小标宋_GBK" w:cs="Times New Roman"/>
          <w:color w:val="FF0000"/>
          <w:spacing w:val="90"/>
          <w:w w:val="66"/>
          <w:sz w:val="32"/>
          <w:szCs w:val="32"/>
        </w:rPr>
      </w:pPr>
    </w:p>
    <w:p>
      <w:pPr>
        <w:keepNext w:val="0"/>
        <w:keepLines w:val="0"/>
        <w:pageBreakBefore w:val="0"/>
        <w:widowControl w:val="0"/>
        <w:kinsoku/>
        <w:wordWrap/>
        <w:overflowPunct/>
        <w:topLinePunct w:val="0"/>
        <w:autoSpaceDE/>
        <w:autoSpaceDN/>
        <w:bidi w:val="0"/>
        <w:spacing w:line="580" w:lineRule="exact"/>
        <w:jc w:val="center"/>
        <w:textAlignment w:val="auto"/>
        <w:rPr>
          <w:rFonts w:hint="default" w:ascii="Times New Roman" w:hAnsi="Times New Roman" w:eastAsia="方正小标宋_GBK" w:cs="Times New Roman"/>
          <w:color w:val="FF0000"/>
          <w:spacing w:val="90"/>
          <w:w w:val="66"/>
          <w:sz w:val="32"/>
          <w:szCs w:val="32"/>
        </w:rPr>
      </w:pPr>
    </w:p>
    <w:p>
      <w:pPr>
        <w:keepNext w:val="0"/>
        <w:keepLines w:val="0"/>
        <w:pageBreakBefore w:val="0"/>
        <w:widowControl w:val="0"/>
        <w:kinsoku/>
        <w:wordWrap/>
        <w:overflowPunct/>
        <w:topLinePunct w:val="0"/>
        <w:autoSpaceDE/>
        <w:autoSpaceDN/>
        <w:bidi w:val="0"/>
        <w:spacing w:line="580" w:lineRule="exact"/>
        <w:jc w:val="center"/>
        <w:textAlignment w:val="auto"/>
        <w:rPr>
          <w:rFonts w:hint="default" w:ascii="Times New Roman" w:hAnsi="Times New Roman" w:eastAsia="方正小标宋_GBK" w:cs="Times New Roman"/>
          <w:color w:val="FF0000"/>
          <w:spacing w:val="90"/>
          <w:w w:val="66"/>
          <w:sz w:val="32"/>
          <w:szCs w:val="32"/>
        </w:rPr>
      </w:pPr>
    </w:p>
    <w:tbl>
      <w:tblPr>
        <w:tblStyle w:val="12"/>
        <w:tblW w:w="83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71"/>
        <w:gridCol w:w="17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71" w:type="dxa"/>
            <w:tcBorders>
              <w:top w:val="nil"/>
              <w:left w:val="nil"/>
              <w:bottom w:val="nil"/>
              <w:right w:val="nil"/>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600" w:lineRule="atLeast"/>
              <w:jc w:val="distribute"/>
              <w:textAlignment w:val="auto"/>
              <w:rPr>
                <w:rFonts w:hint="default" w:ascii="Times New Roman" w:hAnsi="Times New Roman" w:eastAsia="方正小标宋_GBK" w:cs="Times New Roman"/>
                <w:snapToGrid w:val="0"/>
                <w:color w:val="FF0000"/>
                <w:spacing w:val="-10"/>
                <w:w w:val="85"/>
                <w:kern w:val="0"/>
                <w:sz w:val="80"/>
                <w:szCs w:val="80"/>
              </w:rPr>
            </w:pPr>
            <w:r>
              <w:rPr>
                <w:rFonts w:hint="default" w:ascii="Times New Roman" w:hAnsi="Times New Roman" w:eastAsia="方正小标宋_GBK" w:cs="Times New Roman"/>
                <w:snapToGrid w:val="0"/>
                <w:color w:val="FF0000"/>
                <w:spacing w:val="-10"/>
                <w:w w:val="85"/>
                <w:kern w:val="0"/>
                <w:sz w:val="80"/>
                <w:szCs w:val="80"/>
              </w:rPr>
              <w:t>江苏省医疗保障局</w:t>
            </w:r>
          </w:p>
          <w:p>
            <w:pPr>
              <w:keepNext w:val="0"/>
              <w:keepLines w:val="0"/>
              <w:pageBreakBefore w:val="0"/>
              <w:widowControl w:val="0"/>
              <w:kinsoku/>
              <w:wordWrap/>
              <w:overflowPunct/>
              <w:topLinePunct w:val="0"/>
              <w:autoSpaceDE/>
              <w:autoSpaceDN/>
              <w:bidi w:val="0"/>
              <w:adjustRightInd w:val="0"/>
              <w:snapToGrid w:val="0"/>
              <w:spacing w:line="600" w:lineRule="atLeast"/>
              <w:jc w:val="distribute"/>
              <w:textAlignment w:val="auto"/>
              <w:rPr>
                <w:rFonts w:ascii="Times New Roman" w:hAnsi="Times New Roman" w:eastAsia="华文中宋" w:cs="Times New Roman"/>
                <w:b/>
                <w:snapToGrid w:val="0"/>
                <w:color w:val="FF0000"/>
                <w:spacing w:val="-60"/>
                <w:w w:val="80"/>
                <w:kern w:val="0"/>
                <w:sz w:val="80"/>
                <w:szCs w:val="80"/>
              </w:rPr>
            </w:pPr>
            <w:r>
              <w:rPr>
                <w:rFonts w:hint="default" w:ascii="Times New Roman" w:hAnsi="Times New Roman" w:eastAsia="方正小标宋_GBK" w:cs="Times New Roman"/>
                <w:snapToGrid w:val="0"/>
                <w:color w:val="FF0000"/>
                <w:spacing w:val="-10"/>
                <w:w w:val="80"/>
                <w:kern w:val="0"/>
                <w:sz w:val="80"/>
                <w:szCs w:val="80"/>
              </w:rPr>
              <w:t>江苏省卫生健康委员会</w:t>
            </w:r>
          </w:p>
        </w:tc>
        <w:tc>
          <w:tcPr>
            <w:tcW w:w="1735" w:type="dxa"/>
            <w:tcBorders>
              <w:top w:val="nil"/>
              <w:left w:val="nil"/>
              <w:bottom w:val="nil"/>
              <w:right w:val="nil"/>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600" w:lineRule="atLeast"/>
              <w:jc w:val="center"/>
              <w:textAlignment w:val="auto"/>
              <w:rPr>
                <w:rFonts w:hint="default" w:ascii="Times New Roman" w:hAnsi="Times New Roman" w:eastAsia="方正小标宋_GBK" w:cs="Times New Roman"/>
                <w:color w:val="FF0000"/>
                <w:spacing w:val="-20"/>
                <w:w w:val="80"/>
                <w:sz w:val="100"/>
                <w:szCs w:val="100"/>
              </w:rPr>
            </w:pPr>
            <w:r>
              <w:rPr>
                <w:rFonts w:hint="default" w:ascii="Times New Roman" w:hAnsi="Times New Roman" w:eastAsia="方正小标宋_GBK" w:cs="Times New Roman"/>
                <w:snapToGrid w:val="0"/>
                <w:color w:val="FF0000"/>
                <w:spacing w:val="-20"/>
                <w:w w:val="80"/>
                <w:kern w:val="0"/>
                <w:sz w:val="100"/>
                <w:szCs w:val="100"/>
              </w:rPr>
              <w:t>文件</w:t>
            </w:r>
          </w:p>
        </w:tc>
      </w:tr>
    </w:tbl>
    <w:p>
      <w:pPr>
        <w:keepNext w:val="0"/>
        <w:keepLines w:val="0"/>
        <w:pageBreakBefore w:val="0"/>
        <w:widowControl w:val="0"/>
        <w:kinsoku/>
        <w:wordWrap/>
        <w:overflowPunct/>
        <w:topLinePunct w:val="0"/>
        <w:autoSpaceDE/>
        <w:autoSpaceDN/>
        <w:bidi w:val="0"/>
        <w:adjustRightInd/>
        <w:snapToGrid/>
        <w:spacing w:before="313" w:after="157" w:line="580" w:lineRule="exact"/>
        <w:jc w:val="center"/>
        <w:textAlignment w:val="auto"/>
        <w:rPr>
          <w:rFonts w:ascii="Times New Roman" w:hAnsi="Times New Roman" w:eastAsia="仿宋_GB2312" w:cs="Times New Roman"/>
          <w:color w:val="000000"/>
          <w:kern w:val="0"/>
          <w:sz w:val="32"/>
          <w:szCs w:val="32"/>
        </w:rPr>
      </w:pPr>
      <w:r>
        <w:rPr>
          <w:rFonts w:hint="default" w:ascii="Times New Roman" w:hAnsi="Times New Roman" w:eastAsia="方正仿宋_GBK" w:cs="Times New Roman"/>
          <w:color w:val="000000"/>
          <w:kern w:val="0"/>
          <w:sz w:val="32"/>
          <w:szCs w:val="32"/>
        </w:rPr>
        <w:t>苏医保发〔</w:t>
      </w:r>
      <w:r>
        <w:rPr>
          <w:rFonts w:ascii="Times New Roman" w:hAnsi="Times New Roman" w:eastAsia="方正仿宋_GBK" w:cs="Times New Roman"/>
          <w:color w:val="000000"/>
          <w:kern w:val="0"/>
          <w:sz w:val="32"/>
          <w:szCs w:val="32"/>
        </w:rPr>
        <w:t>202</w:t>
      </w:r>
      <w:r>
        <w:rPr>
          <w:rFonts w:hint="eastAsia" w:ascii="Times New Roman" w:hAnsi="Times New Roman" w:eastAsia="方正仿宋_GBK" w:cs="Times New Roman"/>
          <w:color w:val="000000"/>
          <w:kern w:val="0"/>
          <w:sz w:val="32"/>
          <w:szCs w:val="32"/>
          <w:lang w:val="en-US" w:eastAsia="zh-CN"/>
        </w:rPr>
        <w:t>5</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lang w:val="en-US" w:eastAsia="zh-CN"/>
        </w:rPr>
        <w:t>21</w:t>
      </w:r>
      <w:r>
        <w:rPr>
          <w:rFonts w:ascii="Times New Roman" w:hAnsi="Times New Roman" w:eastAsia="方正仿宋_GBK" w:cs="Times New Roman"/>
          <w:color w:val="000000"/>
          <w:kern w:val="0"/>
          <w:sz w:val="32"/>
          <w:szCs w:val="32"/>
        </w:rPr>
        <w:t>号</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方正小标宋_GBK" w:cs="Times New Roman"/>
          <w:color w:val="000000"/>
          <w:sz w:val="44"/>
          <w:szCs w:val="44"/>
        </w:rPr>
      </w:pPr>
      <w:r>
        <w:rPr>
          <w:rFonts w:ascii="Times New Roman" w:hAnsi="Times New Roman" w:eastAsia="仿宋_GB2312" w:cs="Times New Roman"/>
          <w:kern w:val="0"/>
          <w:sz w:val="32"/>
          <w:szCs w:val="20"/>
        </w:rPr>
        <mc:AlternateContent>
          <mc:Choice Requires="wps">
            <w:drawing>
              <wp:inline distT="0" distB="0" distL="85090" distR="85090">
                <wp:extent cx="5615940" cy="38100"/>
                <wp:effectExtent l="0" t="0" r="0" b="0"/>
                <wp:docPr id="10" name="矩形"/>
                <wp:cNvGraphicFramePr/>
                <a:graphic xmlns:a="http://schemas.openxmlformats.org/drawingml/2006/main">
                  <a:graphicData uri="http://schemas.microsoft.com/office/word/2010/wordprocessingShape">
                    <wps:wsp>
                      <wps:cNvSpPr/>
                      <wps:spPr>
                        <a:xfrm>
                          <a:off x="0" y="0"/>
                          <a:ext cx="5615940" cy="38100"/>
                        </a:xfrm>
                        <a:prstGeom prst="rect">
                          <a:avLst/>
                        </a:prstGeom>
                        <a:solidFill>
                          <a:srgbClr val="FF0000"/>
                        </a:solidFill>
                        <a:ln w="9525" cap="flat" cmpd="sng">
                          <a:noFill/>
                          <a:prstDash val="solid"/>
                          <a:miter/>
                        </a:ln>
                      </wps:spPr>
                      <wps:bodyPr vert="horz" wrap="square" lIns="91440" tIns="45720" rIns="91440" bIns="45720" anchor="t" anchorCtr="false" upright="true">
                        <a:noAutofit/>
                      </wps:bodyPr>
                    </wps:wsp>
                  </a:graphicData>
                </a:graphic>
              </wp:inline>
            </w:drawing>
          </mc:Choice>
          <mc:Fallback>
            <w:pict>
              <v:rect id="矩形" o:spid="_x0000_s1026" o:spt="1" style="height:3pt;width:442.2pt;" fillcolor="#FF0000" filled="t" stroked="f" coordsize="21600,21600" o:gfxdata="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DD9Ri80QAAAAMBAAAPAAAAAAAAAAEA&#10;IAAAADgAAABkcnMvZG93bnJldi54bWxQSwECFAAUAAAACACHTuJA9X5EowACAADZAwAADgAAAAAA&#10;AAABACAAAAA2AQAAZHJzL2Uyb0RvYy54bWxQSwUGAAAAAAYABgBZAQAAqAUAAAAA&#10;">
                <v:fill on="t" focussize="0,0"/>
                <v:stroke on="f" joinstyle="miter"/>
                <v:imagedata o:title=""/>
                <o:lock v:ext="edit" aspectratio="f"/>
                <w10:wrap type="none"/>
                <w10:anchorlock/>
              </v:rect>
            </w:pict>
          </mc:Fallback>
        </mc:AlternateContent>
      </w:r>
    </w:p>
    <w:p>
      <w:pPr>
        <w:pStyle w:val="10"/>
        <w:keepNext w:val="0"/>
        <w:keepLines w:val="0"/>
        <w:pageBreakBefore w:val="0"/>
        <w:widowControl w:val="0"/>
        <w:suppressLineNumbers w:val="0"/>
        <w:shd w:val="clear" w:color="auto" w:fill="FFFFFF"/>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outlineLvl w:val="9"/>
        <w:rPr>
          <w:rFonts w:ascii="Times New Roman" w:hAnsi="Times New Roman" w:eastAsia="方正小标宋_GBK" w:cs="Times New Roman"/>
          <w:i w:val="0"/>
          <w:iCs w:val="0"/>
          <w:caps w:val="0"/>
          <w:smallCaps w:val="0"/>
          <w:color w:val="auto"/>
          <w:spacing w:val="0"/>
          <w:sz w:val="44"/>
          <w:szCs w:val="44"/>
          <w:shd w:val="clear" w:color="auto" w:fill="FFFFFF"/>
          <w:vertAlign w:val="baseline"/>
        </w:rPr>
      </w:pPr>
    </w:p>
    <w:p>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333333"/>
          <w:sz w:val="44"/>
          <w:szCs w:val="44"/>
          <w:shd w:val="clear" w:fill="FFFFFF"/>
          <w:vertAlign w:val="baseline"/>
        </w:rPr>
      </w:pPr>
      <w:r>
        <w:rPr>
          <w:rFonts w:hint="eastAsia" w:ascii="方正小标宋_GBK" w:hAnsi="方正小标宋_GBK" w:eastAsia="方正小标宋_GBK" w:cs="方正小标宋_GBK"/>
          <w:b w:val="0"/>
          <w:bCs w:val="0"/>
          <w:caps w:val="0"/>
          <w:color w:val="333333"/>
          <w:kern w:val="2"/>
          <w:sz w:val="44"/>
          <w:szCs w:val="44"/>
          <w:shd w:val="clear" w:fill="FFFFFF"/>
          <w:vertAlign w:val="baseline"/>
          <w:lang w:val="en-US" w:eastAsia="zh-CN" w:bidi="ar"/>
        </w:rPr>
        <w:t>江苏省医疗保障局 江苏省卫生健康委员会</w:t>
      </w:r>
    </w:p>
    <w:p>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333333"/>
          <w:sz w:val="44"/>
          <w:szCs w:val="44"/>
          <w:shd w:val="clear" w:fill="FFFFFF"/>
          <w:vertAlign w:val="baseline"/>
          <w:lang w:val="en-US" w:eastAsia="zh-CN"/>
        </w:rPr>
      </w:pPr>
      <w:r>
        <w:rPr>
          <w:rFonts w:hint="eastAsia" w:ascii="方正小标宋_GBK" w:hAnsi="方正小标宋_GBK" w:eastAsia="方正小标宋_GBK" w:cs="方正小标宋_GBK"/>
          <w:b w:val="0"/>
          <w:bCs w:val="0"/>
          <w:caps w:val="0"/>
          <w:color w:val="333333"/>
          <w:kern w:val="2"/>
          <w:sz w:val="44"/>
          <w:szCs w:val="44"/>
          <w:shd w:val="clear" w:fill="FFFFFF"/>
          <w:vertAlign w:val="baseline"/>
          <w:lang w:val="en-US" w:eastAsia="zh-CN" w:bidi="ar"/>
        </w:rPr>
        <w:t>关于规范整合临床量表评估等</w:t>
      </w:r>
    </w:p>
    <w:p>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333333"/>
          <w:sz w:val="44"/>
          <w:szCs w:val="44"/>
          <w:shd w:val="clear" w:fill="FFFFFF"/>
          <w:vertAlign w:val="baseline"/>
          <w:lang w:val="en-US" w:eastAsia="zh-CN"/>
        </w:rPr>
      </w:pPr>
      <w:r>
        <w:rPr>
          <w:rFonts w:hint="eastAsia" w:ascii="方正小标宋_GBK" w:hAnsi="方正小标宋_GBK" w:eastAsia="方正小标宋_GBK" w:cs="方正小标宋_GBK"/>
          <w:b w:val="0"/>
          <w:bCs w:val="0"/>
          <w:caps w:val="0"/>
          <w:color w:val="333333"/>
          <w:kern w:val="2"/>
          <w:sz w:val="44"/>
          <w:szCs w:val="44"/>
          <w:shd w:val="clear" w:fill="FFFFFF"/>
          <w:vertAlign w:val="baseline"/>
          <w:lang w:val="en-US" w:eastAsia="zh-CN" w:bidi="ar"/>
        </w:rPr>
        <w:t>医疗服务价格项目的通知</w:t>
      </w:r>
    </w:p>
    <w:p>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80" w:lineRule="exact"/>
        <w:ind w:left="0" w:right="0" w:firstLine="0"/>
        <w:jc w:val="both"/>
        <w:outlineLvl w:val="9"/>
        <w:rPr>
          <w:rFonts w:hint="eastAsia" w:ascii="方正仿宋_GBK" w:hAnsi="方正仿宋_GBK" w:eastAsia="方正仿宋_GBK" w:cs="方正仿宋_GBK"/>
          <w:caps w:val="0"/>
          <w:color w:val="auto"/>
          <w:sz w:val="32"/>
          <w:szCs w:val="32"/>
          <w:vertAlign w:val="baseline"/>
          <w:lang w:val="en-US" w:eastAsia="zh-CN"/>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both"/>
        <w:outlineLvl w:val="9"/>
        <w:rPr>
          <w:rFonts w:hint="eastAsia" w:ascii="方正仿宋_GBK" w:hAnsi="方正仿宋_GBK" w:eastAsia="方正仿宋_GBK" w:cs="方正仿宋_GBK"/>
          <w:caps w:val="0"/>
          <w:color w:val="auto"/>
          <w:sz w:val="32"/>
          <w:szCs w:val="32"/>
          <w:vertAlign w:val="baseline"/>
          <w:lang w:val="en-US" w:eastAsia="zh-CN"/>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各设区市医疗保障局、卫生健康委，在宁省（部）属公立医疗机构：</w:t>
      </w: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both"/>
        <w:outlineLvl w:val="9"/>
        <w:rPr>
          <w:rFonts w:hint="eastAsia" w:ascii="方正仿宋_GBK" w:hAnsi="方正仿宋_GBK" w:eastAsia="方正仿宋_GBK" w:cs="方正仿宋_GBK"/>
          <w:caps w:val="0"/>
          <w:color w:val="auto"/>
          <w:sz w:val="32"/>
          <w:szCs w:val="32"/>
          <w:vertAlign w:val="baseline"/>
          <w:lang w:val="en-US" w:eastAsia="zh-CN"/>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 xml:space="preserve">    根据国家医疗保障局</w:t>
      </w:r>
      <w:r>
        <w:rPr>
          <w:rFonts w:hint="eastAsia" w:ascii="Times New Roman" w:hAnsi="方正仿宋_GBK" w:eastAsia="方正仿宋_GBK" w:cs="Times New Roman"/>
          <w:b w:val="0"/>
          <w:bCs w:val="0"/>
          <w:caps w:val="0"/>
          <w:color w:val="auto"/>
          <w:kern w:val="2"/>
          <w:sz w:val="32"/>
          <w:szCs w:val="32"/>
          <w:vertAlign w:val="baseline"/>
          <w:lang w:val="en-US" w:eastAsia="zh-CN" w:bidi="ar"/>
        </w:rPr>
        <w:t>《临床量表评估类医疗服务价格项目立项指南》和《</w:t>
      </w:r>
      <w:r>
        <w:rPr>
          <w:rFonts w:hint="eastAsia" w:ascii="Calibri" w:hAnsi="方正仿宋_GBK" w:eastAsia="方正仿宋_GBK" w:cs="Times New Roman"/>
          <w:b w:val="0"/>
          <w:bCs w:val="0"/>
          <w:caps w:val="0"/>
          <w:color w:val="auto"/>
          <w:kern w:val="2"/>
          <w:sz w:val="32"/>
          <w:szCs w:val="32"/>
          <w:vertAlign w:val="baseline"/>
          <w:lang w:val="en-US" w:eastAsia="zh-CN" w:bidi="ar"/>
        </w:rPr>
        <w:t>器官移植环节手术</w:t>
      </w:r>
      <w:r>
        <w:rPr>
          <w:rFonts w:hint="eastAsia" w:ascii="Times New Roman" w:hAnsi="方正仿宋_GBK" w:eastAsia="方正仿宋_GBK" w:cs="Times New Roman"/>
          <w:b w:val="0"/>
          <w:bCs w:val="0"/>
          <w:caps w:val="0"/>
          <w:color w:val="auto"/>
          <w:kern w:val="2"/>
          <w:sz w:val="32"/>
          <w:szCs w:val="32"/>
          <w:vertAlign w:val="baseline"/>
          <w:lang w:val="en-US" w:eastAsia="zh-CN" w:bidi="ar"/>
        </w:rPr>
        <w:t>价格项目立项指南》</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，经调查论证并报国家医保局同意，我省规范整合了现行临床量表评估等相关医疗服务价格项目。现就有关事项通知如下：</w:t>
      </w:r>
    </w:p>
    <w:p>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baseline"/>
        <w:outlineLvl w:val="9"/>
        <w:rPr>
          <w:rFonts w:hint="default" w:ascii="Times New Roman" w:hAnsi="Times New Roman" w:eastAsia="方正仿宋_GBK" w:cs="Times New Roman"/>
          <w:caps w:val="0"/>
          <w:color w:val="auto"/>
          <w:sz w:val="32"/>
          <w:szCs w:val="32"/>
          <w:vertAlign w:val="baseline"/>
          <w:lang w:val="en-US" w:eastAsia="zh-CN"/>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一、规范整合医疗服务价格项目。以服务产出为导向，统一规范整合相关价格项目，</w:t>
      </w:r>
      <w:r>
        <w:rPr>
          <w:rFonts w:hint="eastAsia" w:ascii="Times New Roman" w:hAnsi="方正仿宋_GBK" w:eastAsia="方正仿宋_GBK" w:cs="Times New Roman"/>
          <w:b w:val="0"/>
          <w:bCs w:val="0"/>
          <w:caps w:val="0"/>
          <w:color w:val="auto"/>
          <w:kern w:val="2"/>
          <w:sz w:val="32"/>
          <w:szCs w:val="32"/>
          <w:vertAlign w:val="baseline"/>
          <w:lang w:val="en-US" w:eastAsia="zh-CN" w:bidi="ar"/>
        </w:rPr>
        <w:t>设立</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Times New Roman" w:hAnsi="方正仿宋_GBK" w:eastAsia="方正仿宋_GBK" w:cs="Times New Roman"/>
          <w:b w:val="0"/>
          <w:bCs w:val="0"/>
          <w:caps w:val="0"/>
          <w:color w:val="auto"/>
          <w:kern w:val="2"/>
          <w:sz w:val="32"/>
          <w:szCs w:val="32"/>
          <w:vertAlign w:val="baseline"/>
          <w:lang w:val="en-US" w:eastAsia="zh-CN" w:bidi="ar"/>
        </w:rPr>
        <w:t>项</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临床量表评估类项目，</w:t>
      </w:r>
      <w:r>
        <w:rPr>
          <w:rFonts w:hint="default" w:ascii="Times New Roman" w:hAnsi="Times New Roman" w:eastAsia="方正仿宋_GBK" w:cs="Times New Roman"/>
          <w:b w:val="0"/>
          <w:bCs w:val="0"/>
          <w:caps w:val="0"/>
          <w:color w:val="auto"/>
          <w:kern w:val="2"/>
          <w:sz w:val="32"/>
          <w:szCs w:val="32"/>
          <w:vertAlign w:val="baseline"/>
          <w:lang w:val="en-US" w:eastAsia="zh-CN" w:bidi="ar"/>
        </w:rPr>
        <w:t>12</w:t>
      </w:r>
      <w:r>
        <w:rPr>
          <w:rFonts w:hint="eastAsia" w:ascii="Times New Roman" w:hAnsi="方正仿宋_GBK" w:eastAsia="方正仿宋_GBK" w:cs="Times New Roman"/>
          <w:b w:val="0"/>
          <w:bCs w:val="0"/>
          <w:caps w:val="0"/>
          <w:color w:val="auto"/>
          <w:kern w:val="2"/>
          <w:sz w:val="32"/>
          <w:szCs w:val="32"/>
          <w:vertAlign w:val="baseline"/>
          <w:lang w:val="en-US" w:eastAsia="zh-CN" w:bidi="ar"/>
        </w:rPr>
        <w:t>项器官移植类项目。同步停用现行</w:t>
      </w:r>
      <w:r>
        <w:rPr>
          <w:rFonts w:hint="default" w:ascii="Times New Roman" w:hAnsi="Times New Roman" w:eastAsia="方正仿宋_GBK" w:cs="Times New Roman"/>
          <w:b w:val="0"/>
          <w:bCs w:val="0"/>
          <w:caps w:val="0"/>
          <w:color w:val="auto"/>
          <w:kern w:val="2"/>
          <w:sz w:val="32"/>
          <w:szCs w:val="32"/>
          <w:vertAlign w:val="baseline"/>
          <w:lang w:val="en-US" w:eastAsia="zh-CN" w:bidi="ar"/>
        </w:rPr>
        <w:t>46</w:t>
      </w:r>
      <w:r>
        <w:rPr>
          <w:rFonts w:hint="eastAsia" w:ascii="Times New Roman" w:hAnsi="方正仿宋_GBK" w:eastAsia="方正仿宋_GBK" w:cs="Times New Roman"/>
          <w:b w:val="0"/>
          <w:bCs w:val="0"/>
          <w:caps w:val="0"/>
          <w:color w:val="auto"/>
          <w:kern w:val="2"/>
          <w:sz w:val="32"/>
          <w:szCs w:val="32"/>
          <w:vertAlign w:val="baseline"/>
          <w:lang w:val="en-US" w:eastAsia="zh-CN" w:bidi="ar"/>
        </w:rPr>
        <w:t>项价格项目。</w:t>
      </w:r>
    </w:p>
    <w:p>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baseline"/>
        <w:outlineLvl w:val="9"/>
        <w:rPr>
          <w:rFonts w:hint="default" w:ascii="Times New Roman" w:hAnsi="Times New Roman" w:eastAsia="方正仿宋_GBK" w:cs="Times New Roman"/>
          <w:caps w:val="0"/>
          <w:color w:val="auto"/>
          <w:sz w:val="32"/>
          <w:szCs w:val="32"/>
          <w:vertAlign w:val="baseline"/>
          <w:lang w:val="en-US" w:eastAsia="zh-CN"/>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二、</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制定新的医疗服务项目价格。新的项目价格为公立医疗机构最高政府指导价格，不得上浮。其中临床量表评估类价格项目以“得出评估结论”作为一个完整计价单</w:t>
      </w:r>
      <w:r>
        <w:rPr>
          <w:rFonts w:hint="eastAsia" w:ascii="Times New Roman" w:hAnsi="方正仿宋_GBK" w:eastAsia="方正仿宋_GBK" w:cs="Times New Roman"/>
          <w:b w:val="0"/>
          <w:bCs w:val="0"/>
          <w:caps w:val="0"/>
          <w:color w:val="auto"/>
          <w:kern w:val="2"/>
          <w:sz w:val="32"/>
          <w:szCs w:val="32"/>
          <w:vertAlign w:val="baseline"/>
          <w:lang w:val="en-US" w:eastAsia="zh-CN" w:bidi="ar"/>
        </w:rPr>
        <w:t>元，医疗机构为得出准确评估结论需要应用</w:t>
      </w:r>
      <w:r>
        <w:rPr>
          <w:rFonts w:hint="default"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Times New Roman" w:hAnsi="方正仿宋_GBK" w:eastAsia="方正仿宋_GBK" w:cs="Times New Roman"/>
          <w:b w:val="0"/>
          <w:bCs w:val="0"/>
          <w:caps w:val="0"/>
          <w:color w:val="auto"/>
          <w:kern w:val="2"/>
          <w:sz w:val="32"/>
          <w:szCs w:val="32"/>
          <w:vertAlign w:val="baseline"/>
          <w:lang w:val="en-US" w:eastAsia="zh-CN" w:bidi="ar"/>
        </w:rPr>
        <w:t>份或多份量表的，按照实际评估条目总数所对应档次的价格标准收费。器官移植手术类价格项目限取得卫生健康部门相关资质的医疗机构执行，实施多器官联合移植的，按照对应单一器官移植项目价格分别计费，人体捐献器官获取收费仍执行省卫生健康委制定的专项政策。</w:t>
      </w:r>
    </w:p>
    <w:p>
      <w:pPr>
        <w:keepNext w:val="0"/>
        <w:keepLines w:val="0"/>
        <w:pageBreakBefore w:val="0"/>
        <w:widowControl w:val="0"/>
        <w:suppressLineNumbers w:val="0"/>
        <w:suppressAutoHyphens w:val="0"/>
        <w:kinsoku/>
        <w:wordWrap w:val="0"/>
        <w:overflowPunct/>
        <w:topLinePunct w:val="0"/>
        <w:autoSpaceDE/>
        <w:autoSpaceDN/>
        <w:bidi w:val="0"/>
        <w:adjustRightInd/>
        <w:snapToGrid w:val="0"/>
        <w:spacing w:before="0" w:beforeAutospacing="0" w:after="0" w:afterAutospacing="0" w:line="580" w:lineRule="exact"/>
        <w:ind w:left="0" w:right="0" w:firstLine="640" w:firstLineChars="200"/>
        <w:jc w:val="both"/>
        <w:outlineLvl w:val="9"/>
        <w:rPr>
          <w:rFonts w:hint="default" w:ascii="Calibri" w:hAnsi="Calibri" w:eastAsia="方正仿宋_GBK" w:cs="Times New Roman"/>
          <w:caps w:val="0"/>
          <w:color w:val="auto"/>
          <w:sz w:val="32"/>
          <w:szCs w:val="32"/>
          <w:vertAlign w:val="baseline"/>
          <w:lang w:val="en-US" w:eastAsia="zh-CN"/>
        </w:rPr>
      </w:pPr>
      <w:r>
        <w:rPr>
          <w:rFonts w:hint="eastAsia" w:ascii="Times New Roman" w:hAnsi="方正仿宋_GBK" w:eastAsia="方正仿宋_GBK" w:cs="方正仿宋_GBK"/>
          <w:b w:val="0"/>
          <w:bCs w:val="0"/>
          <w:caps w:val="0"/>
          <w:color w:val="auto"/>
          <w:kern w:val="2"/>
          <w:sz w:val="32"/>
          <w:szCs w:val="32"/>
          <w:vertAlign w:val="baseline"/>
          <w:lang w:val="en-US" w:eastAsia="zh-CN" w:bidi="ar"/>
        </w:rPr>
        <w:t>三、明确医保支付政策。明确临床量表评估类、器官移植类</w:t>
      </w:r>
      <w:r>
        <w:rPr>
          <w:rFonts w:hint="default" w:ascii="Times New Roman" w:hAnsi="Times New Roman" w:eastAsia="方正仿宋_GBK" w:cs="方正仿宋_GBK"/>
          <w:b w:val="0"/>
          <w:bCs w:val="0"/>
          <w:caps w:val="0"/>
          <w:color w:val="auto"/>
          <w:kern w:val="2"/>
          <w:sz w:val="32"/>
          <w:szCs w:val="32"/>
          <w:vertAlign w:val="baseline"/>
          <w:lang w:val="en-US" w:eastAsia="zh-CN" w:bidi="ar"/>
        </w:rPr>
        <w:t>14</w:t>
      </w:r>
      <w:r>
        <w:rPr>
          <w:rFonts w:hint="eastAsia" w:ascii="Times New Roman" w:hAnsi="方正仿宋_GBK" w:eastAsia="方正仿宋_GBK" w:cs="方正仿宋_GBK"/>
          <w:b w:val="0"/>
          <w:bCs w:val="0"/>
          <w:caps w:val="0"/>
          <w:color w:val="auto"/>
          <w:kern w:val="2"/>
          <w:sz w:val="32"/>
          <w:szCs w:val="32"/>
          <w:vertAlign w:val="baseline"/>
          <w:lang w:val="en-US" w:eastAsia="zh-CN" w:bidi="ar"/>
        </w:rPr>
        <w:t>项医疗服务项目医保支付类别，各地要结合实际，做好乙类医疗服务项目个人先行自付比例的确定，注重规范整合前后的待遇衔接。各设区市设定的乙类项目个人自付比例须报省医疗保障局。</w:t>
      </w: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outlineLvl w:val="9"/>
        <w:rPr>
          <w:rFonts w:hint="eastAsia" w:ascii="方正仿宋_GBK" w:hAnsi="方正仿宋_GBK" w:eastAsia="方正仿宋_GBK" w:cs="方正仿宋_GBK"/>
          <w:caps w:val="0"/>
          <w:color w:val="auto"/>
          <w:sz w:val="32"/>
          <w:szCs w:val="32"/>
          <w:vertAlign w:val="baseline"/>
          <w:lang w:val="en-US" w:eastAsia="zh-CN"/>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四、</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各级医疗保障部门及各公立医疗机构要及时做好信息系统维护等相关工作。各公立医疗机构要严格执行规范整合后的项目价格及医保支付政策，各级医疗保障部门要</w:t>
      </w:r>
      <w:r>
        <w:rPr>
          <w:rFonts w:hint="eastAsia" w:ascii="Times New Roman" w:hAnsi="方正仿宋_GBK" w:eastAsia="方正仿宋_GBK" w:cs="Times New Roman"/>
          <w:b w:val="0"/>
          <w:bCs w:val="0"/>
          <w:caps w:val="0"/>
          <w:color w:val="auto"/>
          <w:kern w:val="2"/>
          <w:sz w:val="32"/>
          <w:szCs w:val="32"/>
          <w:vertAlign w:val="baseline"/>
          <w:lang w:val="en-US" w:eastAsia="zh-CN" w:bidi="ar"/>
        </w:rPr>
        <w:t>做好政策落地执行过程中的跟踪监测，出现新情况、新问题，</w:t>
      </w:r>
      <w:r>
        <w:rPr>
          <w:rFonts w:hint="eastAsia" w:ascii="Times New Roman" w:hAnsi="方正仿宋_GBK" w:eastAsia="方正仿宋_GBK" w:cs="Times New Roman"/>
          <w:b w:val="0"/>
          <w:bCs w:val="0"/>
          <w:caps w:val="0"/>
          <w:color w:val="000000"/>
          <w:kern w:val="2"/>
          <w:sz w:val="32"/>
          <w:szCs w:val="32"/>
          <w:vertAlign w:val="baseline"/>
          <w:lang w:val="en-US" w:eastAsia="zh-CN" w:bidi="ar"/>
        </w:rPr>
        <w:t>及时报告省局。</w:t>
      </w: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outlineLvl w:val="9"/>
        <w:rPr>
          <w:rFonts w:hint="eastAsia" w:ascii="Times New Roman" w:hAnsi="方正仿宋_GBK" w:eastAsia="方正仿宋_GBK" w:cs="Times New Roman"/>
          <w:caps w:val="0"/>
          <w:color w:val="auto"/>
          <w:kern w:val="2"/>
          <w:sz w:val="32"/>
          <w:szCs w:val="32"/>
          <w:vertAlign w:val="baseline"/>
          <w:lang w:val="en-US" w:eastAsia="zh-CN" w:bidi="ar"/>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本通知自</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Times New Roman" w:hAnsi="方正仿宋_GBK" w:eastAsia="方正仿宋_GBK" w:cs="Times New Roman"/>
          <w:b w:val="0"/>
          <w:bCs w:val="0"/>
          <w:caps w:val="0"/>
          <w:color w:val="auto"/>
          <w:kern w:val="2"/>
          <w:sz w:val="32"/>
          <w:szCs w:val="32"/>
          <w:vertAlign w:val="baseline"/>
          <w:lang w:val="en-US" w:eastAsia="zh-CN" w:bidi="ar"/>
        </w:rPr>
        <w:t>年</w:t>
      </w:r>
      <w:r>
        <w:rPr>
          <w:rFonts w:hint="eastAsia" w:ascii="Times New Roman" w:hAnsi="Times New Roman" w:eastAsia="方正仿宋_GBK" w:cs="Times New Roman"/>
          <w:b w:val="0"/>
          <w:bCs w:val="0"/>
          <w:caps w:val="0"/>
          <w:color w:val="auto"/>
          <w:kern w:val="2"/>
          <w:sz w:val="32"/>
          <w:szCs w:val="32"/>
          <w:vertAlign w:val="baseline"/>
          <w:lang w:val="en-US" w:eastAsia="zh-CN" w:bidi="ar"/>
        </w:rPr>
        <w:t>7</w:t>
      </w:r>
      <w:r>
        <w:rPr>
          <w:rFonts w:hint="eastAsia" w:ascii="Times New Roman" w:hAnsi="方正仿宋_GBK" w:eastAsia="方正仿宋_GBK" w:cs="Times New Roman"/>
          <w:b w:val="0"/>
          <w:bCs w:val="0"/>
          <w:caps w:val="0"/>
          <w:color w:val="auto"/>
          <w:kern w:val="2"/>
          <w:sz w:val="32"/>
          <w:szCs w:val="32"/>
          <w:vertAlign w:val="baseline"/>
          <w:lang w:val="en-US" w:eastAsia="zh-CN" w:bidi="ar"/>
        </w:rPr>
        <w:t>月</w:t>
      </w:r>
      <w:r>
        <w:rPr>
          <w:rFonts w:hint="eastAsia"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Times New Roman" w:hAnsi="方正仿宋_GBK" w:eastAsia="方正仿宋_GBK" w:cs="Times New Roman"/>
          <w:b w:val="0"/>
          <w:bCs w:val="0"/>
          <w:caps w:val="0"/>
          <w:color w:val="auto"/>
          <w:kern w:val="2"/>
          <w:sz w:val="32"/>
          <w:szCs w:val="32"/>
          <w:vertAlign w:val="baseline"/>
          <w:lang w:val="en-US" w:eastAsia="zh-CN" w:bidi="ar"/>
        </w:rPr>
        <w:t>日执行。</w:t>
      </w:r>
    </w:p>
    <w:p>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80" w:lineRule="exact"/>
        <w:ind w:left="0" w:right="0" w:firstLine="0"/>
        <w:jc w:val="both"/>
        <w:outlineLvl w:val="9"/>
        <w:rPr>
          <w:rFonts w:hint="eastAsia" w:ascii="方正仿宋_GBK" w:hAnsi="方正仿宋_GBK" w:eastAsia="方正仿宋_GBK" w:cs="方正仿宋_GBK"/>
          <w:caps w:val="0"/>
          <w:color w:val="auto"/>
          <w:sz w:val="32"/>
          <w:szCs w:val="32"/>
          <w:vertAlign w:val="baseline"/>
          <w:lang w:val="en-US" w:eastAsia="zh-CN"/>
        </w:rPr>
      </w:pPr>
    </w:p>
    <w:p>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80" w:lineRule="exact"/>
        <w:ind w:left="1918" w:leftChars="304" w:right="0" w:hanging="1280" w:hangingChars="400"/>
        <w:jc w:val="both"/>
        <w:outlineLvl w:val="9"/>
        <w:rPr>
          <w:rFonts w:hint="default" w:ascii="Times New Roman" w:hAnsi="Times New Roman" w:eastAsia="方正仿宋_GBK" w:cs="Times New Roman"/>
          <w:caps w:val="0"/>
          <w:color w:val="auto"/>
          <w:kern w:val="2"/>
          <w:sz w:val="32"/>
          <w:szCs w:val="32"/>
          <w:vertAlign w:val="baseline"/>
          <w:lang w:val="en-US" w:eastAsia="zh-CN" w:bidi="ar"/>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附件：</w:t>
      </w:r>
      <w:r>
        <w:rPr>
          <w:rFonts w:hint="default"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Times New Roman" w:hAnsi="方正仿宋_GBK" w:eastAsia="方正仿宋_GBK" w:cs="Times New Roman"/>
          <w:b w:val="0"/>
          <w:bCs w:val="0"/>
          <w:caps w:val="0"/>
          <w:color w:val="auto"/>
          <w:spacing w:val="-11"/>
          <w:kern w:val="2"/>
          <w:sz w:val="32"/>
          <w:szCs w:val="32"/>
          <w:vertAlign w:val="baseline"/>
          <w:lang w:val="en-US" w:eastAsia="zh-CN" w:bidi="ar"/>
        </w:rPr>
        <w:t>江苏省</w:t>
      </w:r>
      <w:r>
        <w:rPr>
          <w:rFonts w:hint="eastAsia" w:ascii="Calibri" w:hAnsi="方正仿宋_GBK" w:eastAsia="方正仿宋_GBK" w:cs="Times New Roman"/>
          <w:b w:val="0"/>
          <w:bCs w:val="0"/>
          <w:caps w:val="0"/>
          <w:color w:val="auto"/>
          <w:spacing w:val="-11"/>
          <w:kern w:val="2"/>
          <w:sz w:val="32"/>
          <w:szCs w:val="32"/>
          <w:vertAlign w:val="baseline"/>
          <w:lang w:val="en-US" w:eastAsia="zh-CN" w:bidi="ar"/>
        </w:rPr>
        <w:t>临床量表评估和器官移植环节手术</w:t>
      </w:r>
      <w:r>
        <w:rPr>
          <w:rFonts w:hint="eastAsia" w:ascii="Times New Roman" w:hAnsi="方正仿宋_GBK" w:eastAsia="方正仿宋_GBK" w:cs="Times New Roman"/>
          <w:b w:val="0"/>
          <w:bCs w:val="0"/>
          <w:caps w:val="0"/>
          <w:color w:val="auto"/>
          <w:spacing w:val="-11"/>
          <w:kern w:val="2"/>
          <w:sz w:val="32"/>
          <w:szCs w:val="32"/>
          <w:vertAlign w:val="baseline"/>
          <w:lang w:val="en-US" w:eastAsia="zh-CN" w:bidi="ar"/>
        </w:rPr>
        <w:t>项目价格表</w:t>
      </w:r>
    </w:p>
    <w:p>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80" w:lineRule="exact"/>
        <w:ind w:left="0" w:right="0" w:firstLine="640" w:firstLineChars="200"/>
        <w:jc w:val="both"/>
        <w:outlineLvl w:val="9"/>
        <w:rPr>
          <w:rFonts w:hint="default" w:ascii="Times New Roman" w:hAnsi="Times New Roman" w:eastAsia="方正仿宋_GBK" w:cs="Times New Roman"/>
          <w:caps w:val="0"/>
          <w:color w:val="333333"/>
          <w:sz w:val="32"/>
          <w:szCs w:val="32"/>
          <w:shd w:val="clear" w:fill="FFFFFF"/>
          <w:vertAlign w:val="baseline"/>
        </w:rPr>
      </w:pPr>
      <w:r>
        <w:rPr>
          <w:rFonts w:hint="default" w:ascii="Times New Roman" w:hAnsi="Times New Roman" w:eastAsia="方正仿宋_GBK" w:cs="Times New Roman"/>
          <w:b w:val="0"/>
          <w:bCs w:val="0"/>
          <w:caps w:val="0"/>
          <w:color w:val="333333"/>
          <w:kern w:val="2"/>
          <w:sz w:val="32"/>
          <w:szCs w:val="32"/>
          <w:shd w:val="clear" w:fill="FFFFFF"/>
          <w:vertAlign w:val="baseline"/>
          <w:lang w:val="en-US" w:eastAsia="zh-CN" w:bidi="ar"/>
        </w:rPr>
        <w:t xml:space="preserve">      </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Times New Roman" w:hAnsi="方正仿宋_GBK" w:eastAsia="方正仿宋_GBK" w:cs="Times New Roman"/>
          <w:b w:val="0"/>
          <w:bCs w:val="0"/>
          <w:caps w:val="0"/>
          <w:color w:val="auto"/>
          <w:kern w:val="2"/>
          <w:sz w:val="32"/>
          <w:szCs w:val="32"/>
          <w:vertAlign w:val="baseline"/>
          <w:lang w:val="en-US" w:eastAsia="zh-CN" w:bidi="ar"/>
        </w:rPr>
        <w:t>停用部分医疗服务价格项目表</w:t>
      </w:r>
    </w:p>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80" w:lineRule="exact"/>
        <w:ind w:left="0" w:right="0" w:firstLine="0"/>
        <w:jc w:val="both"/>
        <w:outlineLvl w:val="9"/>
        <w:rPr>
          <w:rFonts w:hint="eastAsia" w:ascii="宋体" w:hAnsi="宋体" w:eastAsia="方正仿宋_GBK" w:cs="宋体"/>
          <w:caps w:val="0"/>
          <w:color w:val="auto"/>
          <w:sz w:val="24"/>
          <w:szCs w:val="24"/>
          <w:vertAlign w:val="baseline"/>
          <w:lang w:val="en-US" w:eastAsia="zh-CN"/>
        </w:rPr>
      </w:pPr>
      <w:r>
        <w:rPr>
          <w:rFonts w:hint="default" w:ascii="Times New Roman" w:hAnsi="Times New Roman" w:eastAsia="方正仿宋_GBK" w:cs="Times New Roman"/>
          <w:b w:val="0"/>
          <w:bCs w:val="0"/>
          <w:caps w:val="0"/>
          <w:color w:val="333333"/>
          <w:kern w:val="2"/>
          <w:sz w:val="32"/>
          <w:szCs w:val="32"/>
          <w:shd w:val="clear" w:fill="FFFFFF"/>
          <w:vertAlign w:val="baseline"/>
          <w:lang w:val="en-US" w:eastAsia="zh-CN" w:bidi="ar"/>
        </w:rPr>
        <w:t xml:space="preserve">          </w:t>
      </w:r>
      <w:r>
        <w:rPr>
          <w:rFonts w:hint="default" w:ascii="Times New Roman" w:hAnsi="Times New Roman" w:eastAsia="方正仿宋_GBK" w:cs="Times New Roman"/>
          <w:b w:val="0"/>
          <w:bCs w:val="0"/>
          <w:caps w:val="0"/>
          <w:color w:val="auto"/>
          <w:kern w:val="2"/>
          <w:sz w:val="32"/>
          <w:szCs w:val="32"/>
          <w:vertAlign w:val="baseline"/>
          <w:lang w:val="en-US" w:eastAsia="zh-CN" w:bidi="ar"/>
        </w:rPr>
        <w:t>3.</w:t>
      </w:r>
      <w:r>
        <w:rPr>
          <w:rFonts w:hint="eastAsia" w:ascii="Times New Roman" w:hAnsi="方正仿宋_GBK" w:eastAsia="方正仿宋_GBK" w:cs="Times New Roman"/>
          <w:b w:val="0"/>
          <w:bCs w:val="0"/>
          <w:caps w:val="0"/>
          <w:color w:val="auto"/>
          <w:kern w:val="2"/>
          <w:sz w:val="32"/>
          <w:szCs w:val="32"/>
          <w:vertAlign w:val="baseline"/>
          <w:lang w:val="en-US" w:eastAsia="zh-CN" w:bidi="ar"/>
        </w:rPr>
        <w:t>调整医疗服务价格项目表</w:t>
      </w:r>
    </w:p>
    <w:p>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80" w:lineRule="exact"/>
        <w:ind w:left="0" w:right="0" w:firstLine="0"/>
        <w:jc w:val="both"/>
        <w:outlineLvl w:val="9"/>
        <w:rPr>
          <w:rFonts w:hint="default" w:ascii="Times New Roman" w:hAnsi="Times New Roman" w:eastAsia="方正仿宋_GBK" w:cs="Times New Roman"/>
          <w:caps w:val="0"/>
          <w:color w:val="333333"/>
          <w:sz w:val="32"/>
          <w:szCs w:val="32"/>
          <w:shd w:val="clear" w:fill="FFFFFF"/>
          <w:vertAlign w:val="baseline"/>
        </w:rPr>
      </w:pPr>
    </w:p>
    <w:p>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80" w:lineRule="exact"/>
        <w:ind w:left="0" w:right="0" w:firstLine="0"/>
        <w:jc w:val="right"/>
        <w:outlineLvl w:val="9"/>
        <w:rPr>
          <w:rFonts w:hint="default" w:ascii="Times New Roman" w:hAnsi="Times New Roman" w:eastAsia="方正仿宋_GBK" w:cs="Times New Roman"/>
          <w:caps w:val="0"/>
          <w:color w:val="333333"/>
          <w:sz w:val="32"/>
          <w:szCs w:val="32"/>
          <w:shd w:val="clear" w:fill="FFFFFF"/>
          <w:vertAlign w:val="baseline"/>
        </w:rPr>
      </w:pPr>
    </w:p>
    <w:p>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80" w:lineRule="exact"/>
        <w:ind w:left="0" w:right="0" w:firstLine="640" w:firstLineChars="200"/>
        <w:jc w:val="both"/>
        <w:outlineLvl w:val="9"/>
        <w:rPr>
          <w:rFonts w:hint="default" w:ascii="Times New Roman" w:hAnsi="Times New Roman" w:eastAsia="方正仿宋_GBK" w:cs="Times New Roman"/>
          <w:caps w:val="0"/>
          <w:color w:val="333333"/>
          <w:sz w:val="32"/>
          <w:szCs w:val="32"/>
          <w:shd w:val="clear" w:fill="FFFFFF"/>
          <w:vertAlign w:val="baseline"/>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江苏省医疗保障局</w:t>
      </w:r>
      <w:r>
        <w:rPr>
          <w:rFonts w:hint="default" w:ascii="Times New Roman" w:hAnsi="Times New Roman" w:eastAsia="方正仿宋_GBK" w:cs="Times New Roman"/>
          <w:b w:val="0"/>
          <w:bCs w:val="0"/>
          <w:caps w:val="0"/>
          <w:color w:val="333333"/>
          <w:kern w:val="2"/>
          <w:sz w:val="32"/>
          <w:szCs w:val="32"/>
          <w:shd w:val="clear" w:fill="FFFFFF"/>
          <w:vertAlign w:val="baseline"/>
          <w:lang w:val="en-US" w:eastAsia="zh-CN" w:bidi="ar"/>
        </w:rPr>
        <w:t xml:space="preserve">            </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江苏省卫生健康委员会</w:t>
      </w: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outlineLvl w:val="9"/>
        <w:rPr>
          <w:rFonts w:hint="eastAsia" w:ascii="Times New Roman" w:hAnsi="方正仿宋_GBK" w:eastAsia="方正仿宋_GBK" w:cs="Times New Roman"/>
          <w:caps w:val="0"/>
          <w:color w:val="auto"/>
          <w:kern w:val="2"/>
          <w:sz w:val="32"/>
          <w:szCs w:val="32"/>
          <w:vertAlign w:val="baseline"/>
          <w:lang w:val="en-US" w:eastAsia="zh-CN" w:bidi="ar"/>
        </w:rPr>
      </w:pPr>
      <w:r>
        <w:rPr>
          <w:rFonts w:hint="default" w:ascii="Times New Roman" w:hAnsi="Times New Roman" w:eastAsia="方正仿宋_GBK" w:cs="Times New Roman"/>
          <w:b w:val="0"/>
          <w:bCs w:val="0"/>
          <w:caps w:val="0"/>
          <w:color w:val="333333"/>
          <w:kern w:val="2"/>
          <w:sz w:val="32"/>
          <w:szCs w:val="32"/>
          <w:shd w:val="clear" w:fill="FFFFFF"/>
          <w:vertAlign w:val="baseline"/>
          <w:lang w:val="en-US" w:eastAsia="zh-CN" w:bidi="ar"/>
        </w:rPr>
        <w:t xml:space="preserve">                              </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Times New Roman" w:hAnsi="方正仿宋_GBK" w:eastAsia="方正仿宋_GBK" w:cs="Times New Roman"/>
          <w:b w:val="0"/>
          <w:bCs w:val="0"/>
          <w:caps w:val="0"/>
          <w:color w:val="auto"/>
          <w:kern w:val="2"/>
          <w:sz w:val="32"/>
          <w:szCs w:val="32"/>
          <w:vertAlign w:val="baseline"/>
          <w:lang w:val="en-US" w:eastAsia="zh-CN" w:bidi="ar"/>
        </w:rPr>
        <w:t>年</w:t>
      </w:r>
      <w:r>
        <w:rPr>
          <w:rFonts w:hint="eastAsia" w:ascii="Times New Roman" w:hAnsi="Times New Roman" w:eastAsia="方正仿宋_GBK" w:cs="Times New Roman"/>
          <w:b w:val="0"/>
          <w:bCs w:val="0"/>
          <w:caps w:val="0"/>
          <w:color w:val="auto"/>
          <w:kern w:val="2"/>
          <w:sz w:val="32"/>
          <w:szCs w:val="32"/>
          <w:vertAlign w:val="baseline"/>
          <w:lang w:val="en-US" w:eastAsia="zh-CN" w:bidi="ar"/>
        </w:rPr>
        <w:t>6</w:t>
      </w:r>
      <w:r>
        <w:rPr>
          <w:rFonts w:hint="eastAsia" w:ascii="Times New Roman" w:hAnsi="方正仿宋_GBK" w:eastAsia="方正仿宋_GBK" w:cs="Times New Roman"/>
          <w:b w:val="0"/>
          <w:bCs w:val="0"/>
          <w:caps w:val="0"/>
          <w:color w:val="auto"/>
          <w:kern w:val="2"/>
          <w:sz w:val="32"/>
          <w:szCs w:val="32"/>
          <w:vertAlign w:val="baseline"/>
          <w:lang w:val="en-US" w:eastAsia="zh-CN" w:bidi="ar"/>
        </w:rPr>
        <w:t>月</w:t>
      </w:r>
      <w:r>
        <w:rPr>
          <w:rFonts w:hint="eastAsia" w:ascii="Times New Roman" w:hAnsi="Times New Roman" w:eastAsia="方正仿宋_GBK" w:cs="Times New Roman"/>
          <w:b w:val="0"/>
          <w:bCs w:val="0"/>
          <w:caps w:val="0"/>
          <w:color w:val="auto"/>
          <w:kern w:val="2"/>
          <w:sz w:val="32"/>
          <w:szCs w:val="32"/>
          <w:vertAlign w:val="baseline"/>
          <w:lang w:val="en-US" w:eastAsia="zh-CN" w:bidi="ar"/>
        </w:rPr>
        <w:t>16</w:t>
      </w:r>
      <w:r>
        <w:rPr>
          <w:rFonts w:hint="eastAsia" w:ascii="Times New Roman" w:hAnsi="方正仿宋_GBK" w:eastAsia="方正仿宋_GBK" w:cs="Times New Roman"/>
          <w:b w:val="0"/>
          <w:bCs w:val="0"/>
          <w:caps w:val="0"/>
          <w:color w:val="auto"/>
          <w:kern w:val="2"/>
          <w:sz w:val="32"/>
          <w:szCs w:val="32"/>
          <w:vertAlign w:val="baseline"/>
          <w:lang w:val="en-US" w:eastAsia="zh-CN" w:bidi="ar"/>
        </w:rPr>
        <w:t>日</w:t>
      </w:r>
    </w:p>
    <w:p>
      <w:pPr>
        <w:keepNext w:val="0"/>
        <w:keepLines w:val="0"/>
        <w:pageBreakBefore w:val="0"/>
        <w:widowControl/>
        <w:kinsoku/>
        <w:wordWrap/>
        <w:overflowPunct/>
        <w:topLinePunct w:val="0"/>
        <w:autoSpaceDE/>
        <w:autoSpaceDN/>
        <w:bidi w:val="0"/>
        <w:adjustRightInd/>
        <w:snapToGrid/>
        <w:spacing w:line="580" w:lineRule="exact"/>
        <w:textAlignment w:val="auto"/>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outlineLvl w:val="9"/>
        <w:rPr>
          <w:rFonts w:hint="eastAsia" w:ascii="Times New Roman" w:hAnsi="方正仿宋_GBK" w:eastAsia="方正仿宋_GBK" w:cs="Times New Roman"/>
          <w:b w:val="0"/>
          <w:bCs w:val="0"/>
          <w:caps w:val="0"/>
          <w:color w:val="auto"/>
          <w:kern w:val="2"/>
          <w:sz w:val="32"/>
          <w:szCs w:val="32"/>
          <w:vertAlign w:val="baseline"/>
          <w:lang w:val="en-US" w:eastAsia="zh-CN" w:bidi="ar"/>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（此件公开发布）</w:t>
      </w:r>
    </w:p>
    <w:p>
      <w:pPr>
        <w:keepNext w:val="0"/>
        <w:keepLines w:val="0"/>
        <w:pageBreakBefore w:val="0"/>
        <w:kinsoku/>
        <w:overflowPunct/>
        <w:topLinePunct w:val="0"/>
        <w:autoSpaceDE/>
        <w:bidi w:val="0"/>
        <w:adjustRightInd/>
        <w:spacing w:line="580" w:lineRule="exact"/>
        <w:sectPr>
          <w:footerReference r:id="rId3" w:type="default"/>
          <w:pgSz w:w="11906" w:h="16838"/>
          <w:pgMar w:top="2098" w:right="1474" w:bottom="1984" w:left="1587" w:header="851" w:footer="992" w:gutter="1"/>
          <w:pgBorders w:offsetFrom="page">
            <w:top w:val="none" w:sz="0" w:space="0"/>
            <w:left w:val="none" w:sz="0" w:space="0"/>
            <w:bottom w:val="none" w:sz="0" w:space="0"/>
            <w:right w:val="none" w:sz="0" w:space="0"/>
          </w:pgBorders>
          <w:pgNumType w:fmt="decimal" w:start="1"/>
          <w:cols w:space="720" w:num="1"/>
          <w:docGrid w:type="lines" w:linePitch="312" w:charSpace="0"/>
        </w:sectPr>
      </w:pPr>
    </w:p>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0"/>
        <w:jc w:val="left"/>
        <w:outlineLvl w:val="9"/>
        <w:rPr>
          <w:rFonts w:hint="default" w:ascii="Times New Roman" w:hAnsi="Times New Roman" w:eastAsia="方正仿宋_GBK" w:cs="Times New Roman"/>
          <w:b w:val="0"/>
          <w:bCs w:val="0"/>
          <w:caps w:val="0"/>
          <w:snapToGrid w:val="0"/>
          <w:color w:val="auto"/>
          <w:w w:val="100"/>
          <w:kern w:val="2"/>
          <w:sz w:val="32"/>
          <w:szCs w:val="32"/>
          <w:vertAlign w:val="baseline"/>
          <w:lang w:val="en-US" w:eastAsia="zh-CN" w:bidi="ar"/>
        </w:rPr>
      </w:pPr>
      <w:r>
        <w:rPr>
          <w:rFonts w:ascii="方正黑体_GBK" w:hAnsi="方正黑体_GBK" w:eastAsia="方正黑体_GBK" w:cs="方正黑体_GBK"/>
          <w:b w:val="0"/>
          <w:bCs w:val="0"/>
          <w:caps w:val="0"/>
          <w:snapToGrid w:val="0"/>
          <w:color w:val="auto"/>
          <w:w w:val="100"/>
          <w:kern w:val="2"/>
          <w:sz w:val="32"/>
          <w:szCs w:val="32"/>
          <w:vertAlign w:val="baseline"/>
          <w:lang w:val="en-US" w:eastAsia="zh-CN" w:bidi="ar"/>
        </w:rPr>
        <w:t>附件</w:t>
      </w:r>
      <w:r>
        <w:rPr>
          <w:rFonts w:hint="default" w:ascii="Times New Roman" w:hAnsi="Times New Roman" w:eastAsia="方正仿宋_GBK" w:cs="Times New Roman"/>
          <w:b w:val="0"/>
          <w:bCs w:val="0"/>
          <w:caps w:val="0"/>
          <w:snapToGrid w:val="0"/>
          <w:color w:val="auto"/>
          <w:w w:val="100"/>
          <w:kern w:val="2"/>
          <w:sz w:val="32"/>
          <w:szCs w:val="32"/>
          <w:vertAlign w:val="baseline"/>
          <w:lang w:val="en-US" w:eastAsia="zh-CN" w:bidi="ar"/>
        </w:rPr>
        <w:t>1</w:t>
      </w:r>
    </w:p>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0"/>
        <w:jc w:val="center"/>
        <w:outlineLvl w:val="9"/>
        <w:rPr>
          <w:rFonts w:hint="eastAsia" w:ascii="方正小标宋_GBK" w:hAnsi="方正小标宋_GBK" w:eastAsia="方正小标宋_GBK" w:cs="方正小标宋_GBK"/>
          <w:b w:val="0"/>
          <w:bCs w:val="0"/>
          <w:caps w:val="0"/>
          <w:snapToGrid w:val="0"/>
          <w:color w:val="auto"/>
          <w:w w:val="100"/>
          <w:kern w:val="2"/>
          <w:sz w:val="44"/>
          <w:szCs w:val="44"/>
          <w:vertAlign w:val="baseline"/>
          <w:lang w:val="en-US" w:eastAsia="zh-CN" w:bidi="ar"/>
        </w:rPr>
      </w:pPr>
      <w:r>
        <w:rPr>
          <w:rFonts w:hint="eastAsia" w:ascii="方正小标宋_GBK" w:hAnsi="方正小标宋_GBK" w:eastAsia="方正小标宋_GBK" w:cs="方正小标宋_GBK"/>
          <w:b w:val="0"/>
          <w:bCs w:val="0"/>
          <w:caps w:val="0"/>
          <w:snapToGrid w:val="0"/>
          <w:color w:val="auto"/>
          <w:w w:val="100"/>
          <w:kern w:val="2"/>
          <w:sz w:val="44"/>
          <w:szCs w:val="44"/>
          <w:vertAlign w:val="baseline"/>
          <w:lang w:val="en-US" w:eastAsia="zh-CN" w:bidi="ar"/>
        </w:rPr>
        <w:t>江苏省临床量表评估和器官移植环节手术项目价格表</w:t>
      </w:r>
    </w:p>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80" w:lineRule="exact"/>
        <w:ind w:left="0" w:right="0" w:firstLine="0" w:firstLineChars="0"/>
        <w:jc w:val="both"/>
        <w:textAlignment w:val="baseline"/>
        <w:outlineLvl w:val="9"/>
        <w:rPr>
          <w:rFonts w:hint="eastAsia" w:ascii="方正黑体_GBK" w:hAnsi="方正黑体_GBK" w:eastAsia="方正黑体_GBK" w:cs="方正黑体_GBK"/>
          <w:caps w:val="0"/>
          <w:color w:val="auto"/>
          <w:sz w:val="24"/>
          <w:szCs w:val="24"/>
          <w:vertAlign w:val="baseline"/>
          <w:lang w:val="en-US" w:eastAsia="zh-CN"/>
        </w:rPr>
      </w:pPr>
      <w:r>
        <w:rPr>
          <w:rFonts w:hint="eastAsia" w:ascii="方正黑体_GBK" w:hAnsi="方正黑体_GBK" w:eastAsia="方正黑体_GBK" w:cs="方正黑体_GBK"/>
          <w:b w:val="0"/>
          <w:bCs w:val="0"/>
          <w:caps w:val="0"/>
          <w:color w:val="auto"/>
          <w:kern w:val="2"/>
          <w:sz w:val="24"/>
          <w:szCs w:val="24"/>
          <w:vertAlign w:val="baseline"/>
          <w:lang w:val="en-US" w:eastAsia="zh-CN" w:bidi="ar"/>
        </w:rPr>
        <w:t>临床量表评估类</w:t>
      </w:r>
    </w:p>
    <w:tbl>
      <w:tblPr>
        <w:tblStyle w:val="12"/>
        <w:tblpPr w:leftFromText="180" w:rightFromText="180" w:vertAnchor="text" w:horzAnchor="page" w:tblpX="455" w:tblpY="303"/>
        <w:tblOverlap w:val="never"/>
        <w:tblW w:w="1603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1603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320" w:hRule="atLeast"/>
        </w:trPr>
        <w:tc>
          <w:tcPr>
            <w:tcW w:w="16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说明：</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1.</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本价格项目表所称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临床量表评估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涵盖西医和中医的各个临床专业，评估目的是为临床诊断、辅助诊断或治疗效果评价提供支持，评估内容包括但不限于对个体的压力、生活、应激事件；情感反应、行为模式；各项大脑及神经功能、认知功能；生活功能、社会功能、家庭功能、环境适应能力、生命质量、生理机能、营养状态、智力发育及临床诊疗等，不包括以临床试验、流行病学调查、长期随访、科学研究为目的的评估。</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2.</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本价格项目表所称的临床量表是指卫生行业主管部门相关技术规范等准许使用的临床量表，以</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得出评估结论</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作为一个完整计价单元，医疗机构为得出准确结论需要应用</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1</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份或若干份量表的，按照评估条目的总数分档计费。</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3.</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本价格项目表所称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甲类评估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，是指评估条目总数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0,20]</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的临床量表评估；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乙类评估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，是指评估条目总数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20,40]</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的临床量表评估；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丙类评估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，是指评估条目总数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40,100]</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的临床量表评估；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丁类评估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，是指评估条目总数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100,∞</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）的临床量表评估。</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4.</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本价格项目表所称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评估条目</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是指临床评估量表中规范列出、需要作答的具体问题。评估条目属于选项式的，按</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1</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条评估条目计算，评估条目属于论述、记忆、描述等非选项式的，按</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2</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条评估条目计算。</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5.</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本价格项目表所称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基本物质消耗</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，包括但不限于临床量表的工本费，以及临床量表、评估设备及评估软件的版权、开发、购买等的成本。</w:t>
            </w:r>
          </w:p>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6.</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本价格项目表所称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儿童评估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，指以</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6</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周岁及以下儿童为对象进行的临床量表评估。此类情形下，实际是否有专业评估人员协助，均按</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他评</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及对应的分档标准计价。</w:t>
            </w:r>
          </w:p>
        </w:tc>
      </w:tr>
    </w:tbl>
    <w:tbl>
      <w:tblPr>
        <w:tblStyle w:val="12"/>
        <w:tblW w:w="16014"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108" w:type="dxa"/>
          <w:bottom w:w="0" w:type="dxa"/>
          <w:right w:w="108" w:type="dxa"/>
        </w:tblCellMar>
      </w:tblPr>
      <w:tblGrid>
        <w:gridCol w:w="1935"/>
        <w:gridCol w:w="2331"/>
        <w:gridCol w:w="2417"/>
        <w:gridCol w:w="2756"/>
        <w:gridCol w:w="1228"/>
        <w:gridCol w:w="750"/>
        <w:gridCol w:w="1228"/>
        <w:gridCol w:w="1189"/>
        <w:gridCol w:w="218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00" w:hRule="atLeast"/>
          <w:tblHeader/>
          <w:jc w:val="center"/>
        </w:trPr>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4"/>
                <w:szCs w:val="24"/>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编码</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4"/>
                <w:szCs w:val="24"/>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项目名称</w:t>
            </w:r>
          </w:p>
        </w:tc>
        <w:tc>
          <w:tcPr>
            <w:tcW w:w="24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4"/>
                <w:szCs w:val="24"/>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服务产出</w:t>
            </w:r>
          </w:p>
        </w:tc>
        <w:tc>
          <w:tcPr>
            <w:tcW w:w="27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4"/>
                <w:szCs w:val="24"/>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价格构成</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4"/>
                <w:szCs w:val="24"/>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医保支付类别</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4"/>
                <w:szCs w:val="24"/>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计价单位</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4"/>
                <w:szCs w:val="24"/>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价格（元）</w:t>
            </w:r>
          </w:p>
        </w:tc>
        <w:tc>
          <w:tcPr>
            <w:tcW w:w="21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4"/>
                <w:szCs w:val="24"/>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计价说明</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00" w:hRule="atLeast"/>
          <w:tblHeader/>
          <w:jc w:val="center"/>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sz w:val="24"/>
                <w:szCs w:val="24"/>
              </w:rPr>
            </w:pP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sz w:val="24"/>
                <w:szCs w:val="24"/>
              </w:rPr>
            </w:pPr>
          </w:p>
        </w:tc>
        <w:tc>
          <w:tcPr>
            <w:tcW w:w="24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sz w:val="24"/>
                <w:szCs w:val="24"/>
              </w:rPr>
            </w:pPr>
          </w:p>
        </w:tc>
        <w:tc>
          <w:tcPr>
            <w:tcW w:w="27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sz w:val="24"/>
                <w:szCs w:val="24"/>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sz w:val="24"/>
                <w:szCs w:val="24"/>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4"/>
                <w:szCs w:val="24"/>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三类医院</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4"/>
                <w:szCs w:val="24"/>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二类医院</w:t>
            </w:r>
          </w:p>
        </w:tc>
        <w:tc>
          <w:tcPr>
            <w:tcW w:w="21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00" w:hRule="atLeast"/>
          <w:jc w:val="center"/>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iCs w:val="0"/>
                <w:caps w:val="0"/>
                <w:color w:val="000000"/>
                <w:sz w:val="22"/>
                <w:szCs w:val="22"/>
                <w:u w:val="none"/>
                <w:vertAlign w:val="baseli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b/>
                <w:bCs/>
                <w:i w:val="0"/>
                <w:iCs w:val="0"/>
                <w:caps w:val="0"/>
                <w:color w:val="000000"/>
                <w:sz w:val="22"/>
                <w:szCs w:val="22"/>
                <w:u w:val="none"/>
                <w:vertAlign w:val="baseline"/>
              </w:rPr>
            </w:pPr>
            <w:r>
              <w:rPr>
                <w:rFonts w:hint="eastAsia" w:ascii="方正仿宋_GBK" w:hAnsi="方正仿宋_GBK" w:eastAsia="方正仿宋_GBK" w:cs="方正仿宋_GBK"/>
                <w:b/>
                <w:bCs/>
                <w:i w:val="0"/>
                <w:iCs w:val="0"/>
                <w:caps w:val="0"/>
                <w:color w:val="000000"/>
                <w:kern w:val="0"/>
                <w:sz w:val="22"/>
                <w:szCs w:val="22"/>
                <w:u w:val="none"/>
                <w:vertAlign w:val="baseline"/>
                <w:lang w:val="en-US" w:eastAsia="zh-CN" w:bidi="ar"/>
              </w:rPr>
              <w:t>量表</w:t>
            </w:r>
          </w:p>
        </w:tc>
        <w:tc>
          <w:tcPr>
            <w:tcW w:w="2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iCs w:val="0"/>
                <w:caps w:val="0"/>
                <w:color w:val="000000"/>
                <w:sz w:val="22"/>
                <w:szCs w:val="22"/>
                <w:u w:val="none"/>
                <w:vertAlign w:val="baseline"/>
              </w:rPr>
            </w:pPr>
          </w:p>
        </w:tc>
        <w:tc>
          <w:tcPr>
            <w:tcW w:w="2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iCs w:val="0"/>
                <w:caps w:val="0"/>
                <w:color w:val="000000"/>
                <w:sz w:val="22"/>
                <w:szCs w:val="22"/>
                <w:u w:val="none"/>
                <w:vertAlign w:val="baseli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iCs w:val="0"/>
                <w:caps w:val="0"/>
                <w:color w:val="000000"/>
                <w:sz w:val="22"/>
                <w:szCs w:val="22"/>
                <w:u w:val="none"/>
                <w:vertAlign w:val="baseli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iCs w:val="0"/>
                <w:caps w:val="0"/>
                <w:color w:val="000000"/>
                <w:sz w:val="22"/>
                <w:szCs w:val="22"/>
                <w:u w:val="none"/>
                <w:vertAlign w:val="baseline"/>
              </w:rPr>
            </w:pPr>
          </w:p>
        </w:tc>
        <w:tc>
          <w:tcPr>
            <w:tcW w:w="1228"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黑体_GBK" w:hAnsi="方正黑体_GBK" w:eastAsia="方正黑体_GBK" w:cs="方正黑体_GBK"/>
                <w:i w:val="0"/>
                <w:iCs w:val="0"/>
                <w:caps w:val="0"/>
                <w:color w:val="000000"/>
                <w:sz w:val="22"/>
                <w:szCs w:val="22"/>
                <w:u w:val="none"/>
                <w:vertAlign w:val="baseline"/>
              </w:rPr>
            </w:pPr>
          </w:p>
        </w:tc>
        <w:tc>
          <w:tcPr>
            <w:tcW w:w="1189"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iCs w:val="0"/>
                <w:caps w:val="0"/>
                <w:color w:val="000000"/>
                <w:sz w:val="22"/>
                <w:szCs w:val="22"/>
                <w:u w:val="none"/>
                <w:vertAlign w:val="baseline"/>
              </w:rPr>
            </w:pP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840" w:hRule="atLeast"/>
          <w:jc w:val="center"/>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011102010010000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临床量表评估（自评）</w:t>
            </w:r>
          </w:p>
        </w:tc>
        <w:tc>
          <w:tcPr>
            <w:tcW w:w="2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基于患者自主完成的临床量表，对患者生理或心理的功能状态形成评估结论。</w:t>
            </w:r>
          </w:p>
        </w:tc>
        <w:tc>
          <w:tcPr>
            <w:tcW w:w="2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所定价格涵盖完成自评所需的人力资源和基本物质资源消耗。</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次</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日</w:t>
            </w:r>
          </w:p>
        </w:tc>
        <w:tc>
          <w:tcPr>
            <w:tcW w:w="2417" w:type="dxa"/>
            <w:gridSpan w:val="2"/>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16</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不同学科的临床量表评估可分别计价</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011102010010001</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临床量表评估（自评）</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乙类评估（加收）</w:t>
            </w:r>
          </w:p>
        </w:tc>
        <w:tc>
          <w:tcPr>
            <w:tcW w:w="2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次</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日</w:t>
            </w:r>
          </w:p>
        </w:tc>
        <w:tc>
          <w:tcPr>
            <w:tcW w:w="2417" w:type="dxa"/>
            <w:gridSpan w:val="2"/>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lang w:val="en-US"/>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5</w:t>
            </w:r>
            <w:r>
              <w:rPr>
                <w:rFonts w:hint="eastAsia" w:ascii="Times New Roman" w:hAnsi="Times New Roman" w:cs="Times New Roman"/>
                <w:b w:val="0"/>
                <w:bCs w:val="0"/>
                <w:i w:val="0"/>
                <w:iCs w:val="0"/>
                <w:caps w:val="0"/>
                <w:color w:val="000000"/>
                <w:kern w:val="0"/>
                <w:sz w:val="22"/>
                <w:szCs w:val="22"/>
                <w:u w:val="none"/>
                <w:vertAlign w:val="baseline"/>
                <w:lang w:val="en-US" w:eastAsia="zh-CN" w:bidi="ar"/>
              </w:rPr>
              <w:t>.0</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011102010010002</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临床量表评估（自评）</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丙类评估（加收）</w:t>
            </w:r>
          </w:p>
        </w:tc>
        <w:tc>
          <w:tcPr>
            <w:tcW w:w="2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次</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日</w:t>
            </w:r>
          </w:p>
        </w:tc>
        <w:tc>
          <w:tcPr>
            <w:tcW w:w="2417" w:type="dxa"/>
            <w:gridSpan w:val="2"/>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14</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011102010010003</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临床量表评估（自评）</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丁类评估（加收）</w:t>
            </w:r>
          </w:p>
        </w:tc>
        <w:tc>
          <w:tcPr>
            <w:tcW w:w="2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次</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日</w:t>
            </w:r>
          </w:p>
        </w:tc>
        <w:tc>
          <w:tcPr>
            <w:tcW w:w="2417" w:type="dxa"/>
            <w:gridSpan w:val="2"/>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25</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840" w:hRule="atLeast"/>
          <w:jc w:val="center"/>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011102010010100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临床量表评估（自评）</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应用人工智能辅助的自评（扩展）</w:t>
            </w:r>
          </w:p>
        </w:tc>
        <w:tc>
          <w:tcPr>
            <w:tcW w:w="2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2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次</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日</w:t>
            </w:r>
          </w:p>
        </w:tc>
        <w:tc>
          <w:tcPr>
            <w:tcW w:w="2417" w:type="dxa"/>
            <w:gridSpan w:val="2"/>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16</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120" w:hRule="atLeast"/>
          <w:jc w:val="center"/>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011102010020000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临床量表评估（他评）</w:t>
            </w:r>
          </w:p>
        </w:tc>
        <w:tc>
          <w:tcPr>
            <w:tcW w:w="2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基于专业评估人员协助患者完成的临床量表，对患者生理或心理的功能状态形成评估结论。</w:t>
            </w:r>
          </w:p>
        </w:tc>
        <w:tc>
          <w:tcPr>
            <w:tcW w:w="2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所定价格涵盖完成甲类评估所需的人力资源和基本物质资源消耗。</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次</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日</w:t>
            </w:r>
          </w:p>
        </w:tc>
        <w:tc>
          <w:tcPr>
            <w:tcW w:w="2417" w:type="dxa"/>
            <w:gridSpan w:val="2"/>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32</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不同学科的临床量表评估可分别计价</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011102010020001</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临床量表评估（他评）</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乙类评估（加收）</w:t>
            </w:r>
          </w:p>
        </w:tc>
        <w:tc>
          <w:tcPr>
            <w:tcW w:w="2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次</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日</w:t>
            </w:r>
          </w:p>
        </w:tc>
        <w:tc>
          <w:tcPr>
            <w:tcW w:w="2417" w:type="dxa"/>
            <w:gridSpan w:val="2"/>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10</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011102010020002</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临床量表评估（他评）</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丙类评估（加收）</w:t>
            </w:r>
          </w:p>
        </w:tc>
        <w:tc>
          <w:tcPr>
            <w:tcW w:w="2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次</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日</w:t>
            </w:r>
          </w:p>
        </w:tc>
        <w:tc>
          <w:tcPr>
            <w:tcW w:w="2417" w:type="dxa"/>
            <w:gridSpan w:val="2"/>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28</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011102010020003</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临床量表评估（他评）</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丁类评估（加收）</w:t>
            </w:r>
          </w:p>
        </w:tc>
        <w:tc>
          <w:tcPr>
            <w:tcW w:w="2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次</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日</w:t>
            </w:r>
          </w:p>
        </w:tc>
        <w:tc>
          <w:tcPr>
            <w:tcW w:w="2417" w:type="dxa"/>
            <w:gridSpan w:val="2"/>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50</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840" w:hRule="atLeast"/>
          <w:jc w:val="center"/>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011102010020100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临床量表评估（他评）</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应用人工智能辅助的他评（扩展）</w:t>
            </w:r>
          </w:p>
        </w:tc>
        <w:tc>
          <w:tcPr>
            <w:tcW w:w="2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c>
          <w:tcPr>
            <w:tcW w:w="2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次</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日</w:t>
            </w:r>
          </w:p>
        </w:tc>
        <w:tc>
          <w:tcPr>
            <w:tcW w:w="2417" w:type="dxa"/>
            <w:gridSpan w:val="2"/>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32</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011102010020200</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临床量表评估（他评）</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儿童评估（扩展）</w:t>
            </w:r>
          </w:p>
        </w:tc>
        <w:tc>
          <w:tcPr>
            <w:tcW w:w="2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c>
          <w:tcPr>
            <w:tcW w:w="2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Style w:val="27"/>
                <w:rFonts w:hint="eastAsia" w:ascii="方正仿宋_GBK" w:hAnsi="方正仿宋_GBK" w:eastAsia="方正仿宋_GBK" w:cs="方正仿宋_GBK"/>
                <w:caps w:val="0"/>
                <w:color w:val="000000"/>
                <w:kern w:val="2"/>
                <w:sz w:val="22"/>
                <w:szCs w:val="22"/>
                <w:vertAlign w:val="baseline"/>
                <w:lang w:val="en-US" w:eastAsia="zh-CN" w:bidi="ar"/>
              </w:rPr>
              <w:t>次</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Style w:val="27"/>
                <w:rFonts w:hint="eastAsia" w:ascii="方正仿宋_GBK" w:hAnsi="方正仿宋_GBK" w:eastAsia="方正仿宋_GBK" w:cs="方正仿宋_GBK"/>
                <w:caps w:val="0"/>
                <w:color w:val="000000"/>
                <w:kern w:val="2"/>
                <w:sz w:val="22"/>
                <w:szCs w:val="22"/>
                <w:vertAlign w:val="baseline"/>
                <w:lang w:val="en-US" w:eastAsia="zh-CN" w:bidi="ar"/>
              </w:rPr>
              <w:t>日</w:t>
            </w:r>
          </w:p>
        </w:tc>
        <w:tc>
          <w:tcPr>
            <w:tcW w:w="2417" w:type="dxa"/>
            <w:gridSpan w:val="2"/>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32</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bl>
    <w:p>
      <w:pPr>
        <w:sectPr>
          <w:pgSz w:w="16838" w:h="11906" w:orient="landscape"/>
          <w:pgMar w:top="1474" w:right="2098" w:bottom="1474" w:left="1984" w:header="851" w:footer="992" w:gutter="1"/>
          <w:pgBorders w:offsetFrom="page">
            <w:top w:val="none" w:sz="0" w:space="0"/>
            <w:left w:val="none" w:sz="0" w:space="0"/>
            <w:bottom w:val="none" w:sz="0" w:space="0"/>
            <w:right w:val="none" w:sz="0" w:space="0"/>
          </w:pgBorders>
          <w:pgNumType w:fmt="decimal"/>
          <w:cols w:space="720" w:num="1"/>
          <w:docGrid w:type="lines" w:linePitch="312" w:charSpace="0"/>
        </w:sectPr>
      </w:pPr>
    </w:p>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80" w:lineRule="exact"/>
        <w:ind w:left="0" w:right="0" w:firstLine="0" w:firstLineChars="0"/>
        <w:jc w:val="both"/>
        <w:textAlignment w:val="baseline"/>
        <w:outlineLvl w:val="9"/>
        <w:rPr>
          <w:rFonts w:hint="default" w:ascii="Times New Roman" w:hAnsi="Times New Roman" w:eastAsia="宋体" w:cs="Times New Roman"/>
          <w:caps w:val="0"/>
          <w:color w:val="auto"/>
          <w:sz w:val="24"/>
          <w:szCs w:val="24"/>
          <w:vertAlign w:val="baseline"/>
          <w:lang w:val="en-US" w:eastAsia="zh-CN"/>
        </w:rPr>
      </w:pPr>
      <w:r>
        <w:rPr>
          <w:rFonts w:hint="eastAsia" w:ascii="方正黑体_GBK" w:hAnsi="方正黑体_GBK" w:eastAsia="方正黑体_GBK" w:cs="方正黑体_GBK"/>
          <w:b w:val="0"/>
          <w:bCs w:val="0"/>
          <w:caps w:val="0"/>
          <w:color w:val="auto"/>
          <w:kern w:val="2"/>
          <w:sz w:val="24"/>
          <w:szCs w:val="24"/>
          <w:vertAlign w:val="baseline"/>
          <w:lang w:val="en-US" w:eastAsia="zh-CN" w:bidi="ar"/>
        </w:rPr>
        <w:t>器官移植环节手术</w:t>
      </w:r>
    </w:p>
    <w:tbl>
      <w:tblPr>
        <w:tblStyle w:val="12"/>
        <w:tblpPr w:leftFromText="180" w:rightFromText="180" w:vertAnchor="text" w:horzAnchor="page" w:tblpX="455" w:tblpY="303"/>
        <w:tblOverlap w:val="never"/>
        <w:tblW w:w="1603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1603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1930" w:hRule="atLeast"/>
        </w:trPr>
        <w:tc>
          <w:tcPr>
            <w:tcW w:w="16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default" w:ascii="Times New Roman" w:hAnsi="Times New Roman" w:eastAsia="方正仿宋_GBK" w:cs="Times New Roman"/>
                <w:i w:val="0"/>
                <w:caps w:val="0"/>
                <w:snapToGrid w:val="0"/>
                <w:color w:val="000000"/>
                <w:kern w:val="0"/>
                <w:sz w:val="22"/>
                <w:szCs w:val="22"/>
                <w:u w:val="none"/>
                <w:vertAlign w:val="baseline"/>
                <w:lang w:val="en-US" w:eastAsia="zh-CN" w:bidi="ar"/>
              </w:rPr>
            </w:pP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说明</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default" w:ascii="Times New Roman" w:hAnsi="Times New Roman"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1.</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本价格项目表所列项目仅限取得卫生健康部门相关资质的医疗机构执行。</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2.</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本价格项目表所称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移植</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是指移植医院将供体器官或组织植入受体；所称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切取</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是指合法进行的活体捐献中，移植医院从供体体内取得相应的器官或组织。</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3.</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本价格项目表所称的基本物耗，原则上限于不应或不必要与医疗服务项目分割的易耗品，如碘酒、酒精、消毒液、冲洗液、棉花、纱布、普通敷料、帽子、口罩、鞋套、袜套、手套、手术衣、绷带、床垫、各种护垫、各种衬垫、手术巾、治疗巾、普通注射器、压舌板、滑石粉等。基本物耗成本计入项目价格，不另行收费。除基本物耗以外的其他耗材，按照实际采购价格零差率销售。</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4.</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手术过程中的具体操作步骤，不另行立项收费；术前术后指导、手术方案设计等亦在手术价格项目的定价中体现，不另行立项及收费。</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5.</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本价格项目表所称的</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异种器官</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，指不摘自人体的器官，包括但不限于动物器官，机械器官，以及</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3D</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打印等技术人工制造的器官。</w:t>
            </w:r>
          </w:p>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6.</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合法的活体器官捐献指符合《人体器官捐献和移植条例》相关条款规定的情形。</w:t>
            </w:r>
          </w:p>
        </w:tc>
      </w:tr>
    </w:tbl>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40" w:lineRule="exact"/>
        <w:ind w:left="0" w:right="0" w:firstLine="0" w:firstLineChars="0"/>
        <w:jc w:val="both"/>
        <w:textAlignment w:val="baseline"/>
        <w:outlineLvl w:val="9"/>
        <w:rPr>
          <w:rFonts w:hint="default" w:ascii="Times New Roman" w:hAnsi="Times New Roman" w:eastAsia="宋体" w:cs="Times New Roman"/>
          <w:caps w:val="0"/>
          <w:color w:val="auto"/>
          <w:sz w:val="24"/>
          <w:szCs w:val="24"/>
          <w:vertAlign w:val="baseline"/>
          <w:lang w:val="en-US" w:eastAsia="zh-CN"/>
        </w:rPr>
      </w:pPr>
    </w:p>
    <w:tbl>
      <w:tblPr>
        <w:tblStyle w:val="12"/>
        <w:tblW w:w="15990"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108" w:type="dxa"/>
          <w:bottom w:w="0" w:type="dxa"/>
          <w:right w:w="108" w:type="dxa"/>
        </w:tblCellMar>
      </w:tblPr>
      <w:tblGrid>
        <w:gridCol w:w="1920"/>
        <w:gridCol w:w="2330"/>
        <w:gridCol w:w="2360"/>
        <w:gridCol w:w="2890"/>
        <w:gridCol w:w="1180"/>
        <w:gridCol w:w="770"/>
        <w:gridCol w:w="1210"/>
        <w:gridCol w:w="1200"/>
        <w:gridCol w:w="213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280" w:hRule="atLeast"/>
          <w:tblHeader/>
          <w:jc w:val="center"/>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2"/>
                <w:szCs w:val="22"/>
                <w:u w:val="none"/>
                <w:vertAlign w:val="baseline"/>
              </w:rPr>
            </w:pPr>
            <w:r>
              <w:rPr>
                <w:rFonts w:hint="eastAsia" w:ascii="方正黑体_GBK" w:hAnsi="方正黑体_GBK" w:eastAsia="方正黑体_GBK" w:cs="方正黑体_GBK"/>
                <w:b w:val="0"/>
                <w:bCs w:val="0"/>
                <w:i w:val="0"/>
                <w:iCs w:val="0"/>
                <w:caps w:val="0"/>
                <w:color w:val="000000"/>
                <w:kern w:val="0"/>
                <w:sz w:val="22"/>
                <w:szCs w:val="22"/>
                <w:u w:val="none"/>
                <w:vertAlign w:val="baseline"/>
                <w:lang w:val="en-US" w:eastAsia="zh-CN" w:bidi="ar"/>
              </w:rPr>
              <w:t>编码</w:t>
            </w:r>
          </w:p>
        </w:tc>
        <w:tc>
          <w:tcPr>
            <w:tcW w:w="23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2"/>
                <w:szCs w:val="22"/>
                <w:u w:val="none"/>
                <w:vertAlign w:val="baseline"/>
              </w:rPr>
            </w:pPr>
            <w:r>
              <w:rPr>
                <w:rFonts w:hint="eastAsia" w:ascii="方正黑体_GBK" w:hAnsi="方正黑体_GBK" w:eastAsia="方正黑体_GBK" w:cs="方正黑体_GBK"/>
                <w:b w:val="0"/>
                <w:bCs w:val="0"/>
                <w:i w:val="0"/>
                <w:iCs w:val="0"/>
                <w:caps w:val="0"/>
                <w:color w:val="000000"/>
                <w:kern w:val="0"/>
                <w:sz w:val="22"/>
                <w:szCs w:val="22"/>
                <w:u w:val="none"/>
                <w:vertAlign w:val="baseline"/>
                <w:lang w:val="en-US" w:eastAsia="zh-CN" w:bidi="ar"/>
              </w:rPr>
              <w:t>项目名称</w:t>
            </w:r>
          </w:p>
        </w:tc>
        <w:tc>
          <w:tcPr>
            <w:tcW w:w="23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2"/>
                <w:szCs w:val="22"/>
                <w:u w:val="none"/>
                <w:vertAlign w:val="baseline"/>
              </w:rPr>
            </w:pPr>
            <w:r>
              <w:rPr>
                <w:rFonts w:hint="eastAsia" w:ascii="方正黑体_GBK" w:hAnsi="方正黑体_GBK" w:eastAsia="方正黑体_GBK" w:cs="方正黑体_GBK"/>
                <w:b w:val="0"/>
                <w:bCs w:val="0"/>
                <w:i w:val="0"/>
                <w:iCs w:val="0"/>
                <w:caps w:val="0"/>
                <w:color w:val="000000"/>
                <w:kern w:val="0"/>
                <w:sz w:val="22"/>
                <w:szCs w:val="22"/>
                <w:u w:val="none"/>
                <w:vertAlign w:val="baseline"/>
                <w:lang w:val="en-US" w:eastAsia="zh-CN" w:bidi="ar"/>
              </w:rPr>
              <w:t>服务产出</w:t>
            </w:r>
          </w:p>
        </w:tc>
        <w:tc>
          <w:tcPr>
            <w:tcW w:w="28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2"/>
                <w:szCs w:val="22"/>
                <w:u w:val="none"/>
                <w:vertAlign w:val="baseline"/>
              </w:rPr>
            </w:pPr>
            <w:r>
              <w:rPr>
                <w:rFonts w:hint="eastAsia" w:ascii="方正黑体_GBK" w:hAnsi="方正黑体_GBK" w:eastAsia="方正黑体_GBK" w:cs="方正黑体_GBK"/>
                <w:b w:val="0"/>
                <w:bCs w:val="0"/>
                <w:i w:val="0"/>
                <w:iCs w:val="0"/>
                <w:caps w:val="0"/>
                <w:color w:val="000000"/>
                <w:kern w:val="0"/>
                <w:sz w:val="22"/>
                <w:szCs w:val="22"/>
                <w:u w:val="none"/>
                <w:vertAlign w:val="baseline"/>
                <w:lang w:val="en-US" w:eastAsia="zh-CN" w:bidi="ar"/>
              </w:rPr>
              <w:t>价格构成</w:t>
            </w:r>
          </w:p>
        </w:tc>
        <w:tc>
          <w:tcPr>
            <w:tcW w:w="11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4"/>
                <w:szCs w:val="24"/>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医保支付类别</w:t>
            </w:r>
          </w:p>
        </w:tc>
        <w:tc>
          <w:tcPr>
            <w:tcW w:w="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2"/>
                <w:szCs w:val="22"/>
                <w:u w:val="none"/>
                <w:vertAlign w:val="baseline"/>
              </w:rPr>
            </w:pPr>
            <w:r>
              <w:rPr>
                <w:rFonts w:hint="eastAsia" w:ascii="方正黑体_GBK" w:hAnsi="方正黑体_GBK" w:eastAsia="方正黑体_GBK" w:cs="方正黑体_GBK"/>
                <w:b w:val="0"/>
                <w:bCs w:val="0"/>
                <w:i w:val="0"/>
                <w:iCs w:val="0"/>
                <w:caps w:val="0"/>
                <w:color w:val="000000"/>
                <w:kern w:val="0"/>
                <w:sz w:val="22"/>
                <w:szCs w:val="22"/>
                <w:u w:val="none"/>
                <w:vertAlign w:val="baseline"/>
                <w:lang w:val="en-US" w:eastAsia="zh-CN" w:bidi="ar"/>
              </w:rPr>
              <w:t>计价单位</w:t>
            </w:r>
          </w:p>
        </w:tc>
        <w:tc>
          <w:tcPr>
            <w:tcW w:w="24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2"/>
                <w:szCs w:val="22"/>
                <w:u w:val="none"/>
                <w:vertAlign w:val="baseline"/>
              </w:rPr>
            </w:pPr>
            <w:r>
              <w:rPr>
                <w:rFonts w:hint="eastAsia" w:ascii="方正黑体_GBK" w:hAnsi="方正黑体_GBK" w:eastAsia="方正黑体_GBK" w:cs="方正黑体_GBK"/>
                <w:b w:val="0"/>
                <w:bCs w:val="0"/>
                <w:i w:val="0"/>
                <w:iCs w:val="0"/>
                <w:caps w:val="0"/>
                <w:color w:val="000000"/>
                <w:kern w:val="0"/>
                <w:sz w:val="22"/>
                <w:szCs w:val="22"/>
                <w:u w:val="none"/>
                <w:vertAlign w:val="baseline"/>
                <w:lang w:val="en-US" w:eastAsia="zh-CN" w:bidi="ar"/>
              </w:rPr>
              <w:t>价格（元）</w:t>
            </w:r>
          </w:p>
        </w:tc>
        <w:tc>
          <w:tcPr>
            <w:tcW w:w="21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2"/>
                <w:szCs w:val="22"/>
                <w:u w:val="none"/>
                <w:vertAlign w:val="baseline"/>
              </w:rPr>
            </w:pPr>
            <w:r>
              <w:rPr>
                <w:rFonts w:hint="eastAsia" w:ascii="方正黑体_GBK" w:hAnsi="方正黑体_GBK" w:eastAsia="方正黑体_GBK" w:cs="方正黑体_GBK"/>
                <w:b w:val="0"/>
                <w:bCs w:val="0"/>
                <w:i w:val="0"/>
                <w:iCs w:val="0"/>
                <w:caps w:val="0"/>
                <w:color w:val="000000"/>
                <w:kern w:val="0"/>
                <w:sz w:val="22"/>
                <w:szCs w:val="22"/>
                <w:u w:val="none"/>
                <w:vertAlign w:val="baseline"/>
                <w:lang w:val="en-US" w:eastAsia="zh-CN" w:bidi="ar"/>
              </w:rPr>
              <w:t>计价说明</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20" w:hRule="atLeast"/>
          <w:tblHeader/>
          <w:jc w:val="center"/>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sz w:val="24"/>
                <w:szCs w:val="24"/>
              </w:rPr>
            </w:pPr>
          </w:p>
        </w:tc>
        <w:tc>
          <w:tcPr>
            <w:tcW w:w="23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sz w:val="24"/>
                <w:szCs w:val="24"/>
              </w:rPr>
            </w:pPr>
          </w:p>
        </w:tc>
        <w:tc>
          <w:tcPr>
            <w:tcW w:w="23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sz w:val="24"/>
                <w:szCs w:val="24"/>
              </w:rPr>
            </w:pPr>
          </w:p>
        </w:tc>
        <w:tc>
          <w:tcPr>
            <w:tcW w:w="28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sz w:val="24"/>
                <w:szCs w:val="24"/>
              </w:rPr>
            </w:pPr>
          </w:p>
        </w:tc>
        <w:tc>
          <w:tcPr>
            <w:tcW w:w="11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sz w:val="24"/>
                <w:szCs w:val="24"/>
              </w:rPr>
            </w:pPr>
          </w:p>
        </w:tc>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sz w:val="24"/>
                <w:szCs w:val="24"/>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2"/>
                <w:szCs w:val="22"/>
                <w:u w:val="none"/>
                <w:vertAlign w:val="baseline"/>
              </w:rPr>
            </w:pPr>
            <w:r>
              <w:rPr>
                <w:rFonts w:hint="eastAsia" w:ascii="方正黑体_GBK" w:hAnsi="方正黑体_GBK" w:eastAsia="方正黑体_GBK" w:cs="方正黑体_GBK"/>
                <w:b w:val="0"/>
                <w:bCs w:val="0"/>
                <w:i w:val="0"/>
                <w:iCs w:val="0"/>
                <w:caps w:val="0"/>
                <w:color w:val="000000"/>
                <w:kern w:val="0"/>
                <w:sz w:val="22"/>
                <w:szCs w:val="22"/>
                <w:u w:val="none"/>
                <w:vertAlign w:val="baseline"/>
                <w:lang w:val="en-US" w:eastAsia="zh-CN" w:bidi="ar"/>
              </w:rPr>
              <w:t>三类医院</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黑体_GBK" w:hAnsi="方正黑体_GBK" w:eastAsia="方正黑体_GBK" w:cs="方正黑体_GBK"/>
                <w:i w:val="0"/>
                <w:iCs w:val="0"/>
                <w:caps w:val="0"/>
                <w:color w:val="000000"/>
                <w:sz w:val="22"/>
                <w:szCs w:val="22"/>
                <w:u w:val="none"/>
                <w:vertAlign w:val="baseline"/>
              </w:rPr>
            </w:pPr>
            <w:r>
              <w:rPr>
                <w:rFonts w:hint="eastAsia" w:ascii="方正黑体_GBK" w:hAnsi="方正黑体_GBK" w:eastAsia="方正黑体_GBK" w:cs="方正黑体_GBK"/>
                <w:b w:val="0"/>
                <w:bCs w:val="0"/>
                <w:i w:val="0"/>
                <w:iCs w:val="0"/>
                <w:caps w:val="0"/>
                <w:color w:val="000000"/>
                <w:kern w:val="0"/>
                <w:sz w:val="22"/>
                <w:szCs w:val="22"/>
                <w:u w:val="none"/>
                <w:vertAlign w:val="baseline"/>
                <w:lang w:val="en-US" w:eastAsia="zh-CN" w:bidi="ar"/>
              </w:rPr>
              <w:t>二类医院</w:t>
            </w:r>
          </w:p>
        </w:tc>
        <w:tc>
          <w:tcPr>
            <w:tcW w:w="21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28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黑体_GBK" w:hAnsi="方正黑体_GBK" w:eastAsia="方正黑体_GBK" w:cs="方正黑体_GBK"/>
                <w:i w:val="0"/>
                <w:iCs w:val="0"/>
                <w:caps w:val="0"/>
                <w:color w:val="000000"/>
                <w:sz w:val="22"/>
                <w:szCs w:val="22"/>
                <w:u w:val="none"/>
                <w:vertAlign w:val="baseline"/>
              </w:rPr>
            </w:pP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b/>
                <w:bCs/>
                <w:i w:val="0"/>
                <w:iCs w:val="0"/>
                <w:caps w:val="0"/>
                <w:color w:val="000000"/>
                <w:sz w:val="22"/>
                <w:szCs w:val="22"/>
                <w:u w:val="none"/>
                <w:vertAlign w:val="baseline"/>
              </w:rPr>
            </w:pPr>
            <w:r>
              <w:rPr>
                <w:rFonts w:hint="eastAsia" w:ascii="方正仿宋_GBK" w:hAnsi="方正仿宋_GBK" w:eastAsia="方正仿宋_GBK" w:cs="方正仿宋_GBK"/>
                <w:b/>
                <w:bCs/>
                <w:i w:val="0"/>
                <w:iCs w:val="0"/>
                <w:caps w:val="0"/>
                <w:color w:val="000000"/>
                <w:kern w:val="0"/>
                <w:sz w:val="22"/>
                <w:szCs w:val="22"/>
                <w:u w:val="none"/>
                <w:vertAlign w:val="baseline"/>
                <w:lang w:val="en-US" w:eastAsia="zh-CN" w:bidi="ar"/>
              </w:rPr>
              <w:t>器官移植手术</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黑体_GBK" w:hAnsi="方正黑体_GBK" w:eastAsia="方正黑体_GBK" w:cs="方正黑体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黑体_GBK" w:hAnsi="方正黑体_GBK" w:eastAsia="方正黑体_GBK" w:cs="方正黑体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黑体_GBK" w:hAnsi="方正黑体_GBK" w:eastAsia="方正黑体_GBK" w:cs="方正黑体_GBK"/>
                <w:i w:val="0"/>
                <w:iCs w:val="0"/>
                <w:caps w:val="0"/>
                <w:color w:val="000000"/>
                <w:sz w:val="22"/>
                <w:szCs w:val="22"/>
                <w:u w:val="none"/>
                <w:vertAlign w:val="baseline"/>
              </w:rPr>
            </w:pP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黑体_GBK" w:hAnsi="方正黑体_GBK" w:eastAsia="方正黑体_GBK" w:cs="方正黑体_GBK"/>
                <w:i w:val="0"/>
                <w:iCs w:val="0"/>
                <w:caps w:val="0"/>
                <w:color w:val="000000"/>
                <w:sz w:val="22"/>
                <w:szCs w:val="22"/>
                <w:u w:val="none"/>
                <w:vertAlign w:val="baseli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黑体_GBK" w:hAnsi="方正黑体_GBK" w:eastAsia="方正黑体_GBK" w:cs="方正黑体_GBK"/>
                <w:i w:val="0"/>
                <w:iCs w:val="0"/>
                <w:caps w:val="0"/>
                <w:color w:val="000000"/>
                <w:sz w:val="22"/>
                <w:szCs w:val="22"/>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黑体_GBK" w:hAnsi="方正黑体_GBK" w:eastAsia="方正黑体_GBK" w:cs="方正黑体_GBK"/>
                <w:i w:val="0"/>
                <w:iCs w:val="0"/>
                <w:caps w:val="0"/>
                <w:color w:val="000000"/>
                <w:sz w:val="22"/>
                <w:szCs w:val="22"/>
                <w:u w:val="none"/>
                <w:vertAlign w:val="baseli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黑体_GBK" w:hAnsi="方正黑体_GBK" w:eastAsia="方正黑体_GBK" w:cs="方正黑体_GBK"/>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12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013317000010000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心脏移植术</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异体同种心脏移植，实现患者原位心脏切除和供体心脏植入</w:t>
            </w: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所定价格涵盖患者原位心脏切除、供体心脏术前或术中整复、供体心脏植入，以及切开、吻合、关闭、缝合等手术步骤的人力资源和基本物质资源消耗。</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24500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22050</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013317000010001</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心脏移植术-儿童手术(加收)</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caps w:val="0"/>
                <w:color w:val="000000"/>
                <w:kern w:val="2"/>
                <w:sz w:val="22"/>
                <w:szCs w:val="22"/>
                <w:u w:val="none"/>
                <w:vertAlign w:val="baseline"/>
                <w:lang w:val="en-US" w:eastAsia="zh-CN" w:bidi="ar"/>
              </w:rPr>
              <w:t>6</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周岁及以下儿童按主项的</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30%</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加收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013317000010100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心脏移植术-异种器官(扩展)</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24500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22050</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013317000010200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心脏移植术-异位移植(扩展)</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24500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22050</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12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013317000020000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肝脏移植术</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异体同种肝脏(全肝)移植，实现患者原位肝脏切除和供体肝脏植入。</w:t>
            </w: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所定价格涵盖患者原位肝脏切除、供体肝脏术前或术中整复、供体肝脏植入，以及切开、吻合、关闭、缝合等手术步骤的人力资源和基本物质资源消耗。</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34000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30600</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013317000020001</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肝脏移植术-儿童手术(加收)</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caps w:val="0"/>
                <w:color w:val="000000"/>
                <w:kern w:val="2"/>
                <w:sz w:val="22"/>
                <w:szCs w:val="22"/>
                <w:u w:val="none"/>
                <w:vertAlign w:val="baseline"/>
                <w:lang w:val="en-US" w:eastAsia="zh-CN" w:bidi="ar"/>
              </w:rPr>
              <w:t>6</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周岁及以下儿童按主项的</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30%</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加收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013317000020002</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肝脏移植术-部分肝脏(器官段)移植(加收)</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按主项的</w:t>
            </w:r>
            <w:r>
              <w:rPr>
                <w:rFonts w:hint="default" w:ascii="Times New Roman" w:hAnsi="Times New Roman" w:eastAsia="方正仿宋_GBK" w:cs="Times New Roman"/>
                <w:b w:val="0"/>
                <w:bCs w:val="0"/>
                <w:caps w:val="0"/>
                <w:color w:val="000000"/>
                <w:kern w:val="2"/>
                <w:sz w:val="22"/>
                <w:szCs w:val="22"/>
                <w:u w:val="none"/>
                <w:vertAlign w:val="baseline"/>
                <w:lang w:val="en-US" w:eastAsia="zh-CN" w:bidi="ar"/>
              </w:rPr>
              <w:t>40%</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加收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013317000020100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肝脏移植术-异种器官(扩展)</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34000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30600</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宋体" w:hAnsi="宋体" w:eastAsia="宋体" w:cs="宋体"/>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12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013317000030000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肺脏移植术</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异体同种肺脏(单侧)移植，实现患者原位肺脏切除和供体肺脏植入</w:t>
            </w: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所定价格涵盖患者原位肺脏切除、供体肺脏术前或术中整复、供体肺脏植入，以及切开、吻合、关闭、缝合等手术步骤的人力资源和基本物质资源消耗。</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19807</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17826</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013317000030001</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肺脏移植术-儿童手术(加收)</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caps w:val="0"/>
                <w:color w:val="000000"/>
                <w:kern w:val="2"/>
                <w:sz w:val="22"/>
                <w:szCs w:val="22"/>
                <w:u w:val="none"/>
                <w:vertAlign w:val="baseline"/>
                <w:lang w:val="en-US" w:eastAsia="zh-CN" w:bidi="ar"/>
              </w:rPr>
              <w:t>6</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周岁及以下儿童按主项的</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30%</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加收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013317000030002</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肺脏移植术-部分肺脏(器官段)移植(加收)</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按主项的</w:t>
            </w:r>
            <w:r>
              <w:rPr>
                <w:rFonts w:hint="default" w:ascii="Times New Roman" w:hAnsi="Times New Roman" w:eastAsia="方正仿宋_GBK" w:cs="Times New Roman"/>
                <w:b w:val="0"/>
                <w:bCs w:val="0"/>
                <w:caps w:val="0"/>
                <w:color w:val="000000"/>
                <w:kern w:val="2"/>
                <w:sz w:val="22"/>
                <w:szCs w:val="22"/>
                <w:u w:val="none"/>
                <w:vertAlign w:val="baseline"/>
                <w:lang w:val="en-US" w:eastAsia="zh-CN" w:bidi="ar"/>
              </w:rPr>
              <w:t>40%</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加收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013317000030100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肺脏移植术-异种器官(扩展)</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19807</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17826</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12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013317000040000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肾脏移植术</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异体同种肾脏(单侧)移植，实现供体肾脏植入</w:t>
            </w: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所定价格涵盖供体肾脏术前或术中整复、患者原位肾脏处理、供体肾脏植入，以及切开、吻合、关闭、缝合等手术步骤的人力资源和基本物质资源消耗。</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9500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8550</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013317000040001</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肾脏移植术-儿童手术(加收)</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caps w:val="0"/>
                <w:color w:val="000000"/>
                <w:kern w:val="2"/>
                <w:sz w:val="22"/>
                <w:szCs w:val="22"/>
                <w:u w:val="none"/>
                <w:vertAlign w:val="baseline"/>
                <w:lang w:val="en-US" w:eastAsia="zh-CN" w:bidi="ar"/>
              </w:rPr>
              <w:t>6</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周岁及以下儿童按主项的</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30%</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加收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013317000040100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肾脏移植术-异种器官(扩展)</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9500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8550</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宋体" w:hAnsi="宋体" w:eastAsia="宋体" w:cs="宋体"/>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12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013317000050000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小肠移植术</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异体同种小肠(器官段)移植，实现患者原位小肠切除和供体小肠植入</w:t>
            </w: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所定价格涵盖患者原位小肠切除、供体小肠术前或术中整复、供体小肠植入，以及切开、吻合、关闭、缝合等手术步骤的人力资源和基本物质资源消耗。</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7200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6480</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013317000050001</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小肠移植术-儿童手术(加收)</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caps w:val="0"/>
                <w:color w:val="000000"/>
                <w:kern w:val="2"/>
                <w:sz w:val="22"/>
                <w:szCs w:val="22"/>
                <w:u w:val="none"/>
                <w:vertAlign w:val="baseline"/>
                <w:lang w:val="en-US" w:eastAsia="zh-CN" w:bidi="ar"/>
              </w:rPr>
              <w:t>6</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周岁及以下儿童按主项的</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30%</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加收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013317000050100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小肠移植术-异种器官(扩展)</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7200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6480</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宋体" w:hAnsi="宋体" w:eastAsia="宋体" w:cs="宋体"/>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12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013317000060000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胰腺移植术</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异体同种胰腺移植，实现供体胰腺植入</w:t>
            </w: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所定价格涵盖供体胰腺术前或术中整复、患者原位胰腺处理、供体胰腺植入，以及切开、吻合、关闭、缝合等手术步骤的人力资源和基本物质资源消耗。</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20250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18225</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013317000060001</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胰腺移植术-儿童手术(加收)</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caps w:val="0"/>
                <w:color w:val="000000"/>
                <w:kern w:val="2"/>
                <w:sz w:val="22"/>
                <w:szCs w:val="22"/>
                <w:u w:val="none"/>
                <w:vertAlign w:val="baseline"/>
                <w:lang w:val="en-US" w:eastAsia="zh-CN" w:bidi="ar"/>
              </w:rPr>
              <w:t>6</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周岁及以下儿童按主项的</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30%</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加收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013317000060100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胰腺移植术-异种器官(扩展)</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20250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18225</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宋体" w:hAnsi="宋体" w:eastAsia="宋体" w:cs="宋体"/>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12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013317000070000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角膜移植术</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异体同种角膜(单侧)移植，实现患者原位角膜切除和供体角膜植入</w:t>
            </w: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所定价格涵盖患者原位角膜切除、供体角膜术前或术中整复、供体角膜植入，以及切开、吻合、关闭、缝合等手术步骤的人力资源和基本物质资源消耗。</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4190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3771</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013317000070001</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角膜移植术-儿童手术(加收)</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caps w:val="0"/>
                <w:color w:val="000000"/>
                <w:kern w:val="2"/>
                <w:sz w:val="22"/>
                <w:szCs w:val="22"/>
                <w:u w:val="none"/>
                <w:vertAlign w:val="baseline"/>
                <w:lang w:val="en-US" w:eastAsia="zh-CN" w:bidi="ar"/>
              </w:rPr>
              <w:t>6</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周岁及以下儿童按主项的</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30%</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加收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013317000070100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角膜移植术-异种组织(扩展)</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4190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3771</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宋体" w:hAnsi="宋体" w:eastAsia="宋体" w:cs="宋体"/>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84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013317000080000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供肝切取术</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活体供者肝脏(器官段)切取</w:t>
            </w: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所定价格涵盖活体供者肝脏切取，以及切开、吻合、关闭、缝合等手术步骤的人力资源和基本物质资源消耗。</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5000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4500</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仅限于合法进行的活体器官捐献</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84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013317000090000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供肺切取术</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活体供者肺脏(器官段)切取</w:t>
            </w: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所定价格涵盖活体供者肺脏切取，以及切开、吻合、关闭、缝合等手术步骤的人力资源和基本物质资源消耗。</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4800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4320</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仅限于合法进行的活体器官捐献</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84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013317000100000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供肾切取术</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活体供者肾脏(单侧)切取</w:t>
            </w: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所定价格涵盖活体供者肾脏切取，以及切开、吻合、关闭、缝合等手术步骤的人力资源和基本物质资源消耗。</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4100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3690</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仅限于合法进行的活体器官捐献</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84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013317000110000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供小肠切取术</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活体供者小肠(器官段)切取</w:t>
            </w: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所定价格涵盖活体供者小肠切取，以及切开、吻合、关闭、缝合等手术步骤的人力资源和基本物质资源消耗。</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3300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2970</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仅限于合法进行的活体器官捐献</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840" w:hRule="atLeast"/>
          <w:jc w:val="center"/>
        </w:trPr>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013317000120000</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供胰腺切取术</w:t>
            </w:r>
          </w:p>
        </w:tc>
        <w:tc>
          <w:tcPr>
            <w:tcW w:w="2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活体供者胰腺(器官段)切取</w:t>
            </w:r>
          </w:p>
        </w:tc>
        <w:tc>
          <w:tcPr>
            <w:tcW w:w="2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所定价格涵盖活体供者胰腺切取，以及切开、吻合、关闭、缝合等手术步骤的人力资源和基本物质资源消耗。</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3750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3375</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仅限于合法进行的活体器官捐献</w:t>
            </w:r>
          </w:p>
        </w:tc>
      </w:tr>
    </w:tbl>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0"/>
        <w:jc w:val="both"/>
        <w:outlineLvl w:val="9"/>
        <w:rPr>
          <w:rFonts w:hint="eastAsia" w:ascii="方正小标宋_GBK" w:hAnsi="方正小标宋_GBK" w:eastAsia="方正小标宋_GBK" w:cs="方正小标宋_GBK"/>
          <w:b w:val="0"/>
          <w:bCs w:val="0"/>
          <w:caps w:val="0"/>
          <w:snapToGrid w:val="0"/>
          <w:color w:val="auto"/>
          <w:w w:val="100"/>
          <w:kern w:val="2"/>
          <w:sz w:val="44"/>
          <w:szCs w:val="44"/>
          <w:vertAlign w:val="baseline"/>
          <w:lang w:val="en-US" w:eastAsia="zh-CN" w:bidi="ar"/>
        </w:rPr>
      </w:pPr>
    </w:p>
    <w:p>
      <w:pPr>
        <w:sectPr>
          <w:pgSz w:w="16838" w:h="11906" w:orient="landscape"/>
          <w:pgMar w:top="1474" w:right="2098" w:bottom="1474" w:left="1984" w:header="851" w:footer="992" w:gutter="1"/>
          <w:pgBorders w:offsetFrom="page">
            <w:top w:val="none" w:sz="0" w:space="0"/>
            <w:left w:val="none" w:sz="0" w:space="0"/>
            <w:bottom w:val="none" w:sz="0" w:space="0"/>
            <w:right w:val="none" w:sz="0" w:space="0"/>
          </w:pgBorders>
          <w:pgNumType w:fmt="decimal"/>
          <w:cols w:space="720" w:num="1"/>
          <w:docGrid w:type="lines" w:linePitch="312" w:charSpace="0"/>
        </w:sectPr>
      </w:pPr>
    </w:p>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0"/>
        <w:jc w:val="left"/>
        <w:outlineLvl w:val="9"/>
        <w:rPr>
          <w:rFonts w:hint="default" w:ascii="Times New Roman" w:hAnsi="Times New Roman" w:eastAsia="方正仿宋_GBK" w:cs="Times New Roman"/>
          <w:b w:val="0"/>
          <w:bCs w:val="0"/>
          <w:caps w:val="0"/>
          <w:snapToGrid w:val="0"/>
          <w:color w:val="auto"/>
          <w:w w:val="100"/>
          <w:kern w:val="2"/>
          <w:sz w:val="32"/>
          <w:szCs w:val="32"/>
          <w:vertAlign w:val="baseline"/>
          <w:lang w:val="en-US" w:eastAsia="zh-CN" w:bidi="ar"/>
        </w:rPr>
      </w:pPr>
      <w:r>
        <w:rPr>
          <w:rFonts w:hint="eastAsia" w:ascii="方正黑体_GBK" w:hAnsi="方正黑体_GBK" w:eastAsia="方正黑体_GBK" w:cs="方正黑体_GBK"/>
          <w:b w:val="0"/>
          <w:bCs w:val="0"/>
          <w:caps w:val="0"/>
          <w:snapToGrid w:val="0"/>
          <w:color w:val="auto"/>
          <w:w w:val="100"/>
          <w:kern w:val="2"/>
          <w:sz w:val="32"/>
          <w:szCs w:val="32"/>
          <w:vertAlign w:val="baseline"/>
          <w:lang w:val="en-US" w:eastAsia="zh-CN" w:bidi="ar"/>
        </w:rPr>
        <w:t>附件</w:t>
      </w:r>
      <w:r>
        <w:rPr>
          <w:rFonts w:hint="default" w:ascii="Times New Roman" w:hAnsi="Times New Roman" w:eastAsia="方正仿宋_GBK" w:cs="Times New Roman"/>
          <w:b w:val="0"/>
          <w:bCs w:val="0"/>
          <w:caps w:val="0"/>
          <w:snapToGrid w:val="0"/>
          <w:color w:val="auto"/>
          <w:w w:val="100"/>
          <w:kern w:val="2"/>
          <w:sz w:val="32"/>
          <w:szCs w:val="32"/>
          <w:vertAlign w:val="baseline"/>
          <w:lang w:val="en-US" w:eastAsia="zh-CN" w:bidi="ar"/>
        </w:rPr>
        <w:t>2</w:t>
      </w:r>
    </w:p>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1" w:after="0" w:afterAutospacing="1" w:line="240" w:lineRule="auto"/>
        <w:ind w:left="0" w:right="0" w:firstLine="0"/>
        <w:jc w:val="center"/>
        <w:outlineLvl w:val="9"/>
        <w:rPr>
          <w:rFonts w:hint="eastAsia" w:ascii="方正小标宋_GBK" w:hAnsi="方正小标宋_GBK" w:eastAsia="方正小标宋_GBK" w:cs="方正小标宋_GBK"/>
          <w:b w:val="0"/>
          <w:bCs w:val="0"/>
          <w:caps w:val="0"/>
          <w:snapToGrid w:val="0"/>
          <w:color w:val="auto"/>
          <w:w w:val="100"/>
          <w:kern w:val="2"/>
          <w:sz w:val="44"/>
          <w:szCs w:val="44"/>
          <w:vertAlign w:val="baseline"/>
          <w:lang w:val="en-US" w:eastAsia="zh-CN" w:bidi="ar"/>
        </w:rPr>
      </w:pPr>
      <w:r>
        <w:rPr>
          <w:rFonts w:hint="eastAsia" w:ascii="方正小标宋_GBK" w:hAnsi="方正小标宋_GBK" w:eastAsia="方正小标宋_GBK" w:cs="方正小标宋_GBK"/>
          <w:b w:val="0"/>
          <w:bCs w:val="0"/>
          <w:caps w:val="0"/>
          <w:snapToGrid w:val="0"/>
          <w:color w:val="auto"/>
          <w:w w:val="100"/>
          <w:kern w:val="2"/>
          <w:sz w:val="44"/>
          <w:szCs w:val="44"/>
          <w:vertAlign w:val="baseline"/>
          <w:lang w:val="en-US" w:eastAsia="zh-CN" w:bidi="ar"/>
        </w:rPr>
        <w:t>停用部分医疗服务价格项目表</w:t>
      </w:r>
    </w:p>
    <w:tbl>
      <w:tblPr>
        <w:tblStyle w:val="12"/>
        <w:tblW w:w="1588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1448"/>
        <w:gridCol w:w="2710"/>
        <w:gridCol w:w="6019"/>
        <w:gridCol w:w="2481"/>
        <w:gridCol w:w="1227"/>
        <w:gridCol w:w="200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48" w:hRule="atLeast"/>
          <w:tblHeader/>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编码</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项目名称</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项目内涵</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除外内容</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计价单位</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说明</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310300112</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视知觉评估</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caps w:val="0"/>
                <w:color w:val="000000"/>
                <w:kern w:val="2"/>
                <w:sz w:val="22"/>
                <w:szCs w:val="22"/>
                <w:u w:val="none"/>
                <w:vertAlign w:val="baseline"/>
                <w:lang w:val="en-US" w:eastAsia="zh-CN" w:bidi="ar"/>
              </w:rPr>
              <w:t>运用mvpt,dem,rna量表对受检者进行视知觉评估，以了解其眼脑协调及阅读、学习的基本能力。不含视力、屈光及眼三级视功能检查</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311202014</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新生儿量表检查</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311202015</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新生儿行为测定</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311501001</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精神科</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A</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类量表测查</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包括宗</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(Zung)</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氏焦虑自评量表、宗</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(Zung)</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氏抑郁自评量表、汉密尔顿焦虑量表、汉密尔顿抑郁量表、艾森贝格（</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Asberg</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）抗抑郁剂副反应量表、躁狂状态评定量表、简明精神病评定量表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(BPRS)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、五分量表、临床总体印象量表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(CGI)</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、药物副作用量表、不自主运动评定量表、迟发运动障碍评定量表、锥体外系副作用量表、气质量表、艾森贝格行为量表、常识注意测验、简明心理状况测验</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 xml:space="preserve">(MMSE) </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、瞬时记忆测验、长谷川痴呆测验、认知方式测定、小学生推理能力测定、儿童内外控量表、儿童孤独行为检查量表、康奈氏</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(Conners)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儿童行为量表、阿成贝切</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(Achenbach)</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儿童行为量表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 xml:space="preserve"> </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注意广度测定、注意分配测定、短时记忆广度测定、瞬时记忆广度测定、检查空间位置记忆广度测定、再认能力测定感统量表、日常生活能力评定量表、智力成就责任问卷、丹佛小儿智能发育筛查表、比奈智力测定</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(10</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岁以下</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 xml:space="preserve">) </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、绘人智力测定、思维型、艺术型测定、催眠感受性测定、流调用抑郁自评量表（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CES-D</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）、老年抑郁量表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(GDS)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、贝克焦虑量表、社交焦虑量表、社交回避及苦恼量表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(SAD)</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、医院焦虑抑郁量表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(HAD)</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、痴呆简易筛查量表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(BSSD)</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、个人评价问卷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(PEI)</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、疲劳量表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-14</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、社会支持评定量表、应对方式问卷（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CSQ</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9</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条目患者健康问卷（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PHQ-9</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7</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项广泛性焦虑障碍量表（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GAD-7)</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、轻躁狂检测清单（</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HCL-32</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）、心境障碍问卷（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MDQ</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）、席汉失能量表（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SDS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Hachinski</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缺血指数量表</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测查时间</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30</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分钟以内</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311501002</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精神科</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B</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类量表测查</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包括阳性和阴性精神症状评定</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(PANSS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）量表、慢性精神病标准化评定量表、紧张性生活事件评定量表、老年认知功能量表（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SECC</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）、强迫症状问卷、精神护理观察量表、社会功能缺陷筛选量表、标准化现状检查、布雷德（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Bleied</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）痴呆评定量表、艾森克人格测定（少年版）、简明智能测查（</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SM</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能力测查）、图片词汇测验、瑞文智力测定、格式塔测验、本顿视觉保持测定、各种个别能力测验、匹茨堡睡眠质量指数量表、阿森斯失眠量表检查、防御机制问卷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(DSQ)</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测评、蒙哥马利量表抑郁评定量表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(MADRS)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测评、贝克抑郁自评问卷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(BDI)</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测评、</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A</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型性格问卷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(TABP)</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测评、精神病人暴力危险分级评估量表、自杀风险评估量表、进食问题调查量表（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EDI-1</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EORTC</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生活质量评分、</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YALE—BROWN</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强迫量表、注意力测验、婴儿</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初中生社会生活能力量表、多动症诊断量表测评、感觉统合能力发展评定量表测评、团体智力测验、家庭环境量表中文版</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(FES-CV)</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、父母教养方式评价量表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(EMBU)</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、自我意识量表（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SCS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）、学习障碍儿童筛查量表（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PRS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）、感觉讯息处理及自我调节能力检核表（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SPSRC</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）、婴幼儿感觉讯息处理量表（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ITSP</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Rutter</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儿童行为问卷、青少年健康相关危险行为问卷（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AHRBI</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）、青少年生活事件量表（简版）（</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ASLEC</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Sarason</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考试焦虑量表、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Barratt</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冲动量表（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BIS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）、长处与困难问卷（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SDQ</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）、青少年依恋问卷（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AAQ</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）、自杀态度问卷、新生儿</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20</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项行为神经评定、霍兰德职业倾向问卷、超常行为检查表、威廉斯创造力倾向测验、多动症诊断量表、强迫信念量表（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OBQ</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）、儿童抑郁量表（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CDI</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）、心境与焦虑症状问卷（简式）（</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MASQ-SF</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）、青少年自杀意念量表（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SIQ</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）、儿童期创伤问卷（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CTQ</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）、儿童应激事件量表（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CHAS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）、学生日常社会和学业事件量表（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SHS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Zuckerman-Kuhlman</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人格量表青少年版（</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ZKPQ-A</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）、人格障碍问卷青少年版（</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PDQ4+—A</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）、多伦多述情障碍量表青少年版（</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TAS-20</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 xml:space="preserve"> D</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型人格问卷青少年版（</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DS14</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）、神经质量表青少年版（</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FFI-N</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）、自我结构问卷青少年版（</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SCS-A</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）、简明青少年抑郁体验问卷（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DEQ-A-SF</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）、抑郁体验问卷青少年版（</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DEQ-A</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）、认知情绪调节问卷（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CERQ</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）、冗思反应量表（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RRS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）、社交性应激反应问卷（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RSQ-SSV</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）、简式情感强度量表（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SAIS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）、父母冲突儿童知觉量表（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CPICS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）、功能性失调态度问卷（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DAS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）、自尊量表（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SES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）、个人主义</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集体主义量表（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ICS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）、儿童和青少年完美主义量表（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DPSCA</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）、青少年欲望量表（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AI-A</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测查时间</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30—60</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分钟</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311501003</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精神科</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C</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类量表测查</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包括阳性症状评定量表（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SAPS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）、阴性症状评定量表（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SANS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）、复合性国际诊断问卷（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CIDI</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）、现状精神病症状检查（</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PSE</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）、症状自评量表、成人孤独症诊断量表（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ADI</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）、成人韦氏记忆测验、临床记忆测验、韦氏智力测验、神经心理测验、科赫（</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Kohs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）立方体组合测验、明尼苏达多相个性测验、艾森克个性测验、卡特尔</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16</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项人格测验、十六种人格问卷、专家系统行为观察诊断量表、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808</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神经类型测验、比奈智力测定（</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10</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岁以上）、韦氏智力测定（学前、学龄）、儿童发育量表（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PEP</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）、爱德华个人偏好量表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(EPPS)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、威斯康星卡片分类测验</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(WCST)</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、精神分裂症认知功能测验（</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MCCB</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）、艾森克情绪稳定性测验、心理健康测查表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(PHI)</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OLSON</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婚姻质量问卷、</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Morse</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跌倒评估量表、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Hendrich</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跌倒风险评估量表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(HFRM)</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、临床痴呆评定量表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(CDR)</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、康奈尔医学指数测评</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(CMI)</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0-3</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岁儿童早期语言发育量表、行为核查表（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Potage</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行为核查表）、感觉统合能力发展评定量表、婴幼儿感觉讯息处理量表（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ITSP</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0-6</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岁言语及语言功能评估（计算机辅助）、</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0-6</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岁言语及语言功能评估（人工）、</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PEP-3</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评估、孤独症诊断访谈问卷（修订版）（</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ADI-R</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）、孤独症诊断观察量表（</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ADOS</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）、香港学前儿童小肌肉发展评估（</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HK-PFMDA</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测查时间</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60</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分钟以上</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311501004</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儿童孤独症相关评估量表</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caps w:val="0"/>
                <w:color w:val="000000"/>
                <w:kern w:val="2"/>
                <w:sz w:val="22"/>
                <w:szCs w:val="22"/>
                <w:u w:val="none"/>
                <w:vertAlign w:val="baseline"/>
                <w:lang w:val="en-US" w:eastAsia="zh-CN" w:bidi="ar"/>
              </w:rPr>
              <w:t>孤独症诊断访谈问卷修订版（ADI-R);孤独症诊断观察量表（ADOS）；孤独症谱系障碍儿童心理教育评估；丹佛孤独症早期评估；孤独症行为观察评估、0-6岁儿童运动评估、儿童康复评定、儿童学习能力评估</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限三级医疗机构使用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311501005</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儿童发育评估量表</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包括</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0-6</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岁儿童智能发育筛查测验、</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52</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项神经运动检查、中文早期语言与沟通发育量表、象征性游戏、新生儿神经行为测定、婴儿运动能力检查、婴幼儿孤独症筛查评定、快速神经学甄别测验、发育性眼动评估、儿童饮食行为问题评估问卷、婴幼儿喂养困难评分量表、划消注意力测定、婴儿社会性反应问卷、学习障碍儿童筛查量表、视觉运动整合测试、儿童单项能力发展评估</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限三级医疗机构使用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311502001</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套瓦</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(TOVA)</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注意力竞量测试</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330404008</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翼状胬肉切除</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角膜移植术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330404008-a</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干细胞移植加收</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干细胞移植加收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330404010</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角膜移植术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包括穿透、板层</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供体</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330404010-a</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干细胞移植加收</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干细胞移植加收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330404012</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角膜移植联合视网膜复位术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330406016</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穿透性角膜移植联合白内障囊外摘除及人工晶体植入术</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三联术</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供体角膜、人工角膜</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330702012</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肺移植术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不含供肺切取及保存和运输</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供体</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330702014</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供肺切除术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含修整术</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330803020</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心脏移植术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供体</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330803021</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心肺联合移植术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不含器官的采集、保存及输送</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供体</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331003010</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小肠移植术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供体</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331005017</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异体供肝切除术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含修整术</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331005018</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肝移植术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含全肝切除术</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供体</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331005019</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移植肝切除术</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再移植术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供体</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331005020</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器官联合移植术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供体</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331007014</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异体供胰切除术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含修整术</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331007015</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胰腺联合移植术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包括胎儿胰腺移植术</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不含器官的采集、保存及输送</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331007016</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异位异体移植胰腺切除术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指移植胰腺失败</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331101019</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异体肾移植术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不含异体供肾取肾术</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供体</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331101020</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异体供肾取肾术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331101021</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供体肾修复术</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340200001</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徒手平衡功能检查</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340200003</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日常生活能力评定</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340200005</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手功能评定</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包括徒手和仪器</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340200006</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疲劳度测定</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340200008</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言语能力评定</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包括一般失语症检查、构音障碍检查、言语失用检查</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340200009</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失语症检查</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340200010</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口吃检查</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340200011</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吞咽功能障碍评定</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340200012</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认知知觉功能检查</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包括计算定向思维推理检查</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340200013</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记忆力评定</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包括成人记忆成套测试</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340200014</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失认失用评定</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340200015</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职业能力评定</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340200016</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记忆广度检查</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340200018</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肺功能康复评定</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肺功能训练器</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340200045-b</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营养风险筛查</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caps w:val="0"/>
                <w:color w:val="000000"/>
                <w:kern w:val="2"/>
                <w:sz w:val="22"/>
                <w:szCs w:val="22"/>
                <w:u w:val="none"/>
                <w:vertAlign w:val="baseline"/>
                <w:lang w:val="en-US" w:eastAsia="zh-CN" w:bidi="ar"/>
              </w:rPr>
              <w:t>通过特定营养风险筛查量表；对住院患者定期监测营养风险，每周筛查不超过1次，评估患者是否存在影响临床结局的营养风险，含营养风险筛查量表及报告</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暂</w:t>
            </w:r>
            <w:bookmarkStart w:id="0" w:name="_GoBack"/>
            <w:bookmarkEnd w:id="0"/>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限儿童专科使用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360100028</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疼痛综合评定</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进行麦吉尔疼痛问卷评定、视觉模拟评分法测定、慢性疼痛状况分级等，对患者疼痛的部位、性质、频率和对日常生活的影响等进行综合评定。含人工报告。</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default" w:ascii="Times New Roman" w:hAnsi="Times New Roman" w:eastAsia="宋体" w:cs="Times New Roman"/>
                <w:i w:val="0"/>
                <w:caps w:val="0"/>
                <w:snapToGrid w:val="0"/>
                <w:color w:val="000000"/>
                <w:sz w:val="22"/>
                <w:szCs w:val="22"/>
                <w:u w:val="none"/>
                <w:vertAlign w:val="baseline"/>
              </w:rPr>
            </w:pPr>
          </w:p>
        </w:tc>
      </w:tr>
    </w:tbl>
    <w:p>
      <w:pPr>
        <w:sectPr>
          <w:pgSz w:w="16838" w:h="11906" w:orient="landscape"/>
          <w:pgMar w:top="1474" w:right="2098" w:bottom="1474" w:left="1984" w:header="851" w:footer="992" w:gutter="1"/>
          <w:pgBorders w:offsetFrom="page">
            <w:top w:val="none" w:sz="0" w:space="0"/>
            <w:left w:val="none" w:sz="0" w:space="0"/>
            <w:bottom w:val="none" w:sz="0" w:space="0"/>
            <w:right w:val="none" w:sz="0" w:space="0"/>
          </w:pgBorders>
          <w:pgNumType w:fmt="decimal"/>
          <w:cols w:space="720" w:num="1"/>
          <w:docGrid w:type="lines" w:linePitch="312" w:charSpace="0"/>
        </w:sectPr>
      </w:pPr>
    </w:p>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20" w:lineRule="exact"/>
        <w:ind w:left="0" w:right="0" w:firstLine="0"/>
        <w:jc w:val="both"/>
        <w:outlineLvl w:val="9"/>
        <w:rPr>
          <w:rFonts w:hint="default" w:ascii="Times New Roman" w:hAnsi="Times New Roman" w:eastAsia="方正黑体_GBK" w:cs="Times New Roman"/>
          <w:b w:val="0"/>
          <w:bCs w:val="0"/>
          <w:caps w:val="0"/>
          <w:snapToGrid w:val="0"/>
          <w:color w:val="auto"/>
          <w:w w:val="100"/>
          <w:kern w:val="2"/>
          <w:sz w:val="32"/>
          <w:szCs w:val="32"/>
          <w:vertAlign w:val="baseline"/>
          <w:lang w:val="en-US" w:eastAsia="zh-CN" w:bidi="ar"/>
        </w:rPr>
      </w:pPr>
      <w:r>
        <w:rPr>
          <w:rFonts w:hint="eastAsia" w:ascii="Times New Roman" w:hAnsi="方正黑体_GBK" w:eastAsia="方正黑体_GBK" w:cs="Times New Roman"/>
          <w:b w:val="0"/>
          <w:bCs w:val="0"/>
          <w:caps w:val="0"/>
          <w:snapToGrid w:val="0"/>
          <w:color w:val="auto"/>
          <w:w w:val="100"/>
          <w:kern w:val="2"/>
          <w:sz w:val="32"/>
          <w:szCs w:val="32"/>
          <w:vertAlign w:val="baseline"/>
          <w:lang w:val="en-US" w:eastAsia="zh-CN" w:bidi="ar"/>
        </w:rPr>
        <w:t>附件</w:t>
      </w:r>
      <w:r>
        <w:rPr>
          <w:rFonts w:hint="default" w:ascii="Times New Roman" w:hAnsi="Times New Roman" w:eastAsia="方正黑体_GBK" w:cs="Times New Roman"/>
          <w:b w:val="0"/>
          <w:bCs w:val="0"/>
          <w:caps w:val="0"/>
          <w:snapToGrid w:val="0"/>
          <w:color w:val="auto"/>
          <w:w w:val="100"/>
          <w:kern w:val="2"/>
          <w:sz w:val="32"/>
          <w:szCs w:val="32"/>
          <w:vertAlign w:val="baseline"/>
          <w:lang w:val="en-US" w:eastAsia="zh-CN" w:bidi="ar"/>
        </w:rPr>
        <w:t>3</w:t>
      </w:r>
    </w:p>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20" w:lineRule="exact"/>
        <w:ind w:left="0" w:right="0" w:firstLine="0"/>
        <w:jc w:val="center"/>
        <w:outlineLvl w:val="9"/>
        <w:rPr>
          <w:rFonts w:hint="eastAsia" w:ascii="方正小标宋_GBK" w:hAnsi="方正小标宋_GBK" w:eastAsia="方正小标宋_GBK" w:cs="方正小标宋_GBK"/>
          <w:b w:val="0"/>
          <w:bCs w:val="0"/>
          <w:caps w:val="0"/>
          <w:snapToGrid w:val="0"/>
          <w:color w:val="auto"/>
          <w:w w:val="100"/>
          <w:kern w:val="2"/>
          <w:sz w:val="44"/>
          <w:szCs w:val="44"/>
          <w:vertAlign w:val="baseline"/>
          <w:lang w:val="en-US" w:eastAsia="zh-CN" w:bidi="ar"/>
        </w:rPr>
      </w:pPr>
    </w:p>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20" w:lineRule="exact"/>
        <w:ind w:left="0" w:right="0" w:firstLine="0"/>
        <w:jc w:val="center"/>
        <w:outlineLvl w:val="9"/>
        <w:rPr>
          <w:rFonts w:hint="eastAsia" w:ascii="方正小标宋_GBK" w:hAnsi="方正小标宋_GBK" w:eastAsia="方正小标宋_GBK" w:cs="方正小标宋_GBK"/>
          <w:b w:val="0"/>
          <w:bCs w:val="0"/>
          <w:caps w:val="0"/>
          <w:snapToGrid w:val="0"/>
          <w:color w:val="auto"/>
          <w:w w:val="100"/>
          <w:kern w:val="2"/>
          <w:sz w:val="44"/>
          <w:szCs w:val="44"/>
          <w:vertAlign w:val="baseline"/>
          <w:lang w:val="en-US" w:eastAsia="zh-CN" w:bidi="ar"/>
        </w:rPr>
      </w:pPr>
      <w:r>
        <w:rPr>
          <w:rFonts w:hint="eastAsia" w:ascii="方正小标宋_GBK" w:hAnsi="方正小标宋_GBK" w:eastAsia="方正小标宋_GBK" w:cs="方正小标宋_GBK"/>
          <w:b w:val="0"/>
          <w:bCs w:val="0"/>
          <w:caps w:val="0"/>
          <w:snapToGrid w:val="0"/>
          <w:color w:val="auto"/>
          <w:w w:val="100"/>
          <w:kern w:val="2"/>
          <w:sz w:val="44"/>
          <w:szCs w:val="44"/>
          <w:vertAlign w:val="baseline"/>
          <w:lang w:val="en-US" w:eastAsia="zh-CN" w:bidi="ar"/>
        </w:rPr>
        <w:t>调整医疗服务价格项目表</w:t>
      </w:r>
    </w:p>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20" w:lineRule="exact"/>
        <w:ind w:left="0" w:right="0" w:firstLine="0"/>
        <w:jc w:val="center"/>
        <w:outlineLvl w:val="9"/>
        <w:rPr>
          <w:rFonts w:hint="eastAsia" w:ascii="方正小标宋_GBK" w:hAnsi="方正小标宋_GBK" w:eastAsia="方正小标宋_GBK" w:cs="方正小标宋_GBK"/>
          <w:b w:val="0"/>
          <w:bCs w:val="0"/>
          <w:caps w:val="0"/>
          <w:snapToGrid w:val="0"/>
          <w:color w:val="auto"/>
          <w:w w:val="100"/>
          <w:kern w:val="2"/>
          <w:sz w:val="44"/>
          <w:szCs w:val="44"/>
          <w:vertAlign w:val="baseline"/>
          <w:lang w:val="en-US" w:eastAsia="zh-CN" w:bidi="ar"/>
        </w:rPr>
      </w:pPr>
    </w:p>
    <w:tbl>
      <w:tblPr>
        <w:tblStyle w:val="12"/>
        <w:tblW w:w="15830"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1380"/>
        <w:gridCol w:w="2730"/>
        <w:gridCol w:w="3698"/>
        <w:gridCol w:w="1930"/>
        <w:gridCol w:w="1190"/>
        <w:gridCol w:w="2096"/>
        <w:gridCol w:w="28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80" w:hRule="atLeast"/>
          <w:tblHeader/>
          <w:jc w:val="center"/>
        </w:trPr>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0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编码</w:t>
            </w: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0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项目名称</w:t>
            </w:r>
          </w:p>
        </w:tc>
        <w:tc>
          <w:tcPr>
            <w:tcW w:w="3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0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项目内涵</w:t>
            </w: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0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除外内容</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0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计价单位</w:t>
            </w: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0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说明</w:t>
            </w:r>
          </w:p>
        </w:tc>
        <w:tc>
          <w:tcPr>
            <w:tcW w:w="2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0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652" w:hRule="atLeast"/>
          <w:jc w:val="center"/>
        </w:trPr>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330401006</w:t>
            </w: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睑退缩矫正术</w:t>
            </w:r>
          </w:p>
        </w:tc>
        <w:tc>
          <w:tcPr>
            <w:tcW w:w="3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包括上睑、下睑；包括额肌悬吊、提上睑肌缩短、睑板再造、眼睑缺损整形术。</w:t>
            </w: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outlineLvl w:val="9"/>
              <w:rPr>
                <w:rFonts w:hint="eastAsia" w:ascii="方正仿宋_GBK" w:hAnsi="方正仿宋_GBK" w:eastAsia="方正仿宋_GBK" w:cs="方正仿宋_GBK"/>
                <w:i w:val="0"/>
                <w:caps w:val="0"/>
                <w:snapToGrid w:val="0"/>
                <w:color w:val="000000"/>
                <w:sz w:val="22"/>
                <w:szCs w:val="22"/>
                <w:u w:val="none"/>
                <w:vertAlign w:val="baseline"/>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caps w:val="0"/>
                <w:snapToGrid w:val="0"/>
                <w:color w:val="000000"/>
                <w:sz w:val="22"/>
                <w:szCs w:val="22"/>
                <w:u w:val="none"/>
                <w:vertAlign w:val="baseline"/>
              </w:rPr>
            </w:pPr>
          </w:p>
        </w:tc>
        <w:tc>
          <w:tcPr>
            <w:tcW w:w="2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sz w:val="22"/>
                <w:szCs w:val="22"/>
                <w:u w:val="none"/>
                <w:vertAlign w:val="baseline"/>
                <w:lang w:val="en-US"/>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修改项目内涵。</w:t>
            </w:r>
          </w:p>
        </w:tc>
      </w:tr>
    </w:tbl>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1" w:after="0" w:afterAutospacing="1" w:line="240" w:lineRule="auto"/>
        <w:ind w:left="0" w:right="0" w:firstLine="0"/>
        <w:jc w:val="both"/>
        <w:outlineLvl w:val="9"/>
        <w:rPr>
          <w:rFonts w:hint="eastAsia" w:ascii="宋体" w:hAnsi="宋体" w:eastAsia="方正仿宋_GBK" w:cs="宋体"/>
          <w:caps w:val="0"/>
          <w:color w:val="auto"/>
          <w:sz w:val="24"/>
          <w:szCs w:val="24"/>
          <w:vertAlign w:val="baseline"/>
          <w:lang w:val="en-US" w:eastAsia="zh-CN"/>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both"/>
        <w:outlineLvl w:val="9"/>
        <w:rPr>
          <w:rFonts w:hint="eastAsia" w:ascii="方正楷体_GBK" w:hAnsi="方正楷体_GBK" w:eastAsia="方正楷体_GBK" w:cs="方正楷体_GBK"/>
          <w:caps w:val="0"/>
          <w:color w:val="auto"/>
          <w:spacing w:val="0"/>
          <w:sz w:val="28"/>
          <w:szCs w:val="28"/>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both"/>
        <w:outlineLvl w:val="9"/>
        <w:rPr>
          <w:rFonts w:hint="eastAsia" w:ascii="方正楷体_GBK" w:hAnsi="方正楷体_GBK" w:eastAsia="方正楷体_GBK" w:cs="方正楷体_GBK"/>
          <w:caps w:val="0"/>
          <w:color w:val="auto"/>
          <w:spacing w:val="0"/>
          <w:sz w:val="32"/>
          <w:szCs w:val="32"/>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both"/>
        <w:outlineLvl w:val="9"/>
        <w:rPr>
          <w:rFonts w:hint="eastAsia" w:ascii="方正楷体_GBK" w:hAnsi="方正楷体_GBK" w:eastAsia="方正楷体_GBK" w:cs="方正楷体_GBK"/>
          <w:caps w:val="0"/>
          <w:color w:val="auto"/>
          <w:spacing w:val="0"/>
          <w:sz w:val="32"/>
          <w:szCs w:val="32"/>
          <w:shd w:val="clear" w:fill="FFFFFF"/>
          <w:vertAlign w:val="baseline"/>
          <w:lang w:val="en-US" w:eastAsia="zh-CN" w:bidi="ar"/>
        </w:rPr>
        <w:sectPr>
          <w:pgSz w:w="16840" w:h="11907" w:orient="landscape"/>
          <w:pgMar w:top="1587" w:right="2098" w:bottom="1474" w:left="1984" w:header="851" w:footer="992" w:gutter="0"/>
          <w:pgNumType w:fmt="decimal"/>
          <w:cols w:space="720" w:num="1"/>
          <w:docGrid w:type="lines" w:linePitch="312" w:charSpace="0"/>
        </w:sect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sectPr>
          <w:footerReference r:id="rId4" w:type="default"/>
          <w:pgSz w:w="11907" w:h="16840"/>
          <w:pgMar w:top="2098" w:right="1474" w:bottom="1984" w:left="1588" w:header="851" w:footer="992" w:gutter="0"/>
          <w:pgNumType w:fmt="decimal"/>
          <w:cols w:space="720" w:num="1"/>
          <w:docGrid w:type="lines" w:linePitch="312" w:charSpace="0"/>
        </w:sect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00" w:lineRule="exact"/>
        <w:ind w:left="1119" w:leftChars="133" w:right="-90" w:rightChars="-43" w:hanging="840" w:hangingChars="300"/>
        <w:textAlignment w:val="auto"/>
        <w:rPr>
          <w:rFonts w:hint="eastAsia" w:ascii="Times New Roman" w:hAnsi="Times New Roman" w:eastAsia="方正仿宋_GBK" w:cs="Times New Roman"/>
          <w:snapToGrid w:val="0"/>
          <w:color w:val="000000"/>
          <w:spacing w:val="0"/>
          <w:sz w:val="28"/>
          <w:szCs w:val="32"/>
          <w:lang w:eastAsia="zh-CN" w:bidi="ar-SA"/>
        </w:rPr>
      </w:pPr>
      <w:r>
        <w:rPr>
          <w:rFonts w:ascii="Times New Roman" w:hAnsi="Times New Roman" w:eastAsia="方正仿宋_GBK" w:cs="Times New Roman"/>
          <w:snapToGrid w:val="0"/>
          <w:color w:val="000000"/>
          <w:spacing w:val="0"/>
          <w:kern w:val="0"/>
          <w:sz w:val="28"/>
          <w:szCs w:val="32"/>
          <w:lang w:bidi="ar-SA"/>
        </w:rPr>
        <mc:AlternateContent>
          <mc:Choice Requires="wps">
            <w:drawing>
              <wp:anchor distT="0" distB="0" distL="114300" distR="114300" simplePos="0" relativeHeight="251659264" behindDoc="0" locked="0" layoutInCell="1" allowOverlap="1">
                <wp:simplePos x="0" y="0"/>
                <wp:positionH relativeFrom="column">
                  <wp:posOffset>-35560</wp:posOffset>
                </wp:positionH>
                <wp:positionV relativeFrom="paragraph">
                  <wp:posOffset>0</wp:posOffset>
                </wp:positionV>
                <wp:extent cx="561594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8pt;margin-top:0pt;height:0pt;width:442.2pt;z-index:251659264;mso-width-relative:page;mso-height-relative:page;" filled="f" stroked="t" coordsize="21600,21600" o:gfxdata="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KbcLlzUAAAABAEAAA8AAAAAAAAAAQAgAAAAOAAAAGRycy9kb3ducmV2LnhtbFBLAQIUABQA&#10;AAAIAIdO4kCQDenP3gEAAJoDAAAOAAAAAAAAAAEAIAAAADkBAABkcnMvZTJvRG9jLnhtbFBLBQYA&#10;AAAABgAGAFkBAACJBQAAAAA=&#10;">
                <v:fill on="f" focussize="0,0"/>
                <v:stroke weight="1.25pt" color="#000000" joinstyle="round"/>
                <v:imagedata o:title=""/>
                <o:lock v:ext="edit" aspectratio="f"/>
              </v:line>
            </w:pict>
          </mc:Fallback>
        </mc:AlternateContent>
      </w:r>
      <w:r>
        <w:rPr>
          <w:rFonts w:ascii="Times New Roman" w:hAnsi="Times New Roman" w:eastAsia="方正仿宋_GBK" w:cs="Times New Roman"/>
          <w:snapToGrid w:val="0"/>
          <w:color w:val="000000"/>
          <w:spacing w:val="0"/>
          <w:kern w:val="0"/>
          <w:sz w:val="28"/>
          <w:szCs w:val="32"/>
          <w:lang w:bidi="ar-SA"/>
        </w:rPr>
        <w:t>抄送：</w:t>
      </w:r>
      <w:r>
        <w:rPr>
          <w:rFonts w:hint="eastAsia" w:eastAsia="方正仿宋_GBK" w:cs="Times New Roman"/>
          <w:snapToGrid w:val="0"/>
          <w:color w:val="000000"/>
          <w:spacing w:val="0"/>
          <w:kern w:val="0"/>
          <w:sz w:val="28"/>
          <w:szCs w:val="32"/>
          <w:lang w:eastAsia="zh-CN" w:bidi="ar-SA"/>
        </w:rPr>
        <w:t>国家医疗保障局、国家卫生健康委员会；省市场监督管理局</w:t>
      </w:r>
    </w:p>
    <w:p>
      <w:pPr>
        <w:keepNext w:val="0"/>
        <w:keepLines w:val="0"/>
        <w:pageBreakBefore w:val="0"/>
        <w:widowControl w:val="0"/>
        <w:kinsoku/>
        <w:wordWrap/>
        <w:overflowPunct/>
        <w:topLinePunct w:val="0"/>
        <w:autoSpaceDE/>
        <w:autoSpaceDN/>
        <w:bidi w:val="0"/>
        <w:adjustRightInd/>
        <w:snapToGrid/>
        <w:spacing w:line="540" w:lineRule="exact"/>
        <w:ind w:firstLine="280" w:firstLineChars="100"/>
        <w:textAlignment w:val="auto"/>
        <w:rPr>
          <w:rFonts w:hint="default" w:eastAsia="方正仿宋_GBK"/>
          <w:snapToGrid w:val="0"/>
          <w:color w:val="000000"/>
          <w:sz w:val="32"/>
          <w:szCs w:val="32"/>
          <w:lang w:val="en-US" w:eastAsia="zh-CN"/>
        </w:rPr>
      </w:pPr>
      <w:r>
        <w:rPr>
          <w:rFonts w:ascii="Times New Roman" w:hAnsi="Times New Roman" w:eastAsia="方正仿宋_GBK" w:cs="Times New Roman"/>
          <w:snapToGrid w:val="0"/>
          <w:color w:val="000000"/>
          <w:spacing w:val="0"/>
          <w:kern w:val="0"/>
          <w:sz w:val="28"/>
          <w:szCs w:val="32"/>
          <w:lang w:bidi="ar-SA"/>
        </w:rPr>
        <mc:AlternateContent>
          <mc:Choice Requires="wps">
            <w:drawing>
              <wp:anchor distT="0" distB="0" distL="114300" distR="114300" simplePos="0" relativeHeight="251662336" behindDoc="0" locked="0" layoutInCell="1" allowOverlap="1">
                <wp:simplePos x="0" y="0"/>
                <wp:positionH relativeFrom="column">
                  <wp:posOffset>-35560</wp:posOffset>
                </wp:positionH>
                <wp:positionV relativeFrom="paragraph">
                  <wp:posOffset>375920</wp:posOffset>
                </wp:positionV>
                <wp:extent cx="561594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8pt;margin-top:29.6pt;height:0pt;width:442.2pt;z-index:251662336;mso-width-relative:page;mso-height-relative:page;" filled="f" stroked="t" coordsize="21600,21600" o:gfxdata="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KrNzU3XAAAACAEAAA8AAAAAAAAAAQAgAAAAOAAAAGRycy9kb3ducmV2LnhtbFBLAQIU&#10;ABQAAAAIAIdO4kBhdQOg3gEAAJoDAAAOAAAAAAAAAAEAIAAAADwBAABkcnMvZTJvRG9jLnhtbFBL&#10;BQYAAAAABgAGAFkBAACMBQAAAAA=&#10;">
                <v:fill on="f" focussize="0,0"/>
                <v:stroke weight="1.25pt" color="#000000" joinstyle="round"/>
                <v:imagedata o:title=""/>
                <o:lock v:ext="edit" aspectratio="f"/>
              </v:line>
            </w:pict>
          </mc:Fallback>
        </mc:AlternateContent>
      </w:r>
      <w:r>
        <w:rPr>
          <w:rFonts w:ascii="Times New Roman" w:hAnsi="Times New Roman" w:eastAsia="方正小标宋_GBK" w:cs="Times New Roman"/>
          <w:snapToGrid w:val="0"/>
          <w:color w:val="000000"/>
          <w:spacing w:val="0"/>
          <w:sz w:val="32"/>
          <w:szCs w:val="21"/>
          <w:lang w:bidi="ar-SA"/>
        </w:rPr>
        <mc:AlternateContent>
          <mc:Choice Requires="wps">
            <w:drawing>
              <wp:anchor distT="0" distB="0" distL="114300" distR="114300" simplePos="0" relativeHeight="251661312" behindDoc="0" locked="0" layoutInCell="1" allowOverlap="1">
                <wp:simplePos x="0" y="0"/>
                <wp:positionH relativeFrom="column">
                  <wp:posOffset>-35560</wp:posOffset>
                </wp:positionH>
                <wp:positionV relativeFrom="paragraph">
                  <wp:posOffset>0</wp:posOffset>
                </wp:positionV>
                <wp:extent cx="561594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8pt;margin-top:0pt;height:0pt;width:442.2pt;z-index:251661312;mso-width-relative:page;mso-height-relative:page;" filled="f" stroked="t" coordsize="21600,21600" o:gfxdata="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cgpW5dQAAAAEAQAADwAAAAAAAAABACAAAAA4AAAAZHJzL2Rvd25yZXYueG1sUEsBAhQAFAAA&#10;AAgAh07iQI9v2I3dAQAAmgMAAA4AAAAAAAAAAQAgAAAAOQEAAGRycy9lMm9Eb2MueG1sUEsFBgAA&#10;AAAGAAYAWQEAAIgFAAAAAA==&#10;">
                <v:fill on="f" focussize="0,0"/>
                <v:stroke weight="1pt" color="#000000" joinstyle="round"/>
                <v:imagedata o:title=""/>
                <o:lock v:ext="edit" aspectratio="f"/>
              </v:line>
            </w:pict>
          </mc:Fallback>
        </mc:AlternateContent>
      </w:r>
      <w:r>
        <w:rPr>
          <w:rFonts w:ascii="Times New Roman" w:hAnsi="Times New Roman" w:eastAsia="方正仿宋_GBK" w:cs="Times New Roman"/>
          <w:snapToGrid w:val="0"/>
          <w:color w:val="000000"/>
          <w:spacing w:val="0"/>
          <w:kern w:val="0"/>
          <w:sz w:val="28"/>
          <w:szCs w:val="32"/>
          <w:lang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54736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547360" cy="0"/>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0pt;margin-top:0pt;height:0pt;width:436.8pt;z-index:251660288;mso-width-relative:page;mso-height-relative:page;" filled="f" stroked="t" coordsize="21600,21600" o:gfxdata="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Dbz59j0wAAAAIBAAAPAAAAAAAAAAEAIAAAADgAAABkcnMvZG93bnJldi54bWxQSwECFAAUAAAA&#10;CACHTuJA2YRM/t0BAACaAwAADgAAAAAAAAABACAAAAA4AQAAZHJzL2Uyb0RvYy54bWxQSwUGAAAA&#10;AAYABgBZAQAAhwUAAAAA&#10;">
                <v:fill on="f" focussize="0,0"/>
                <v:stroke weight="1pt" color="#000000" joinstyle="round"/>
                <v:imagedata o:title=""/>
                <o:lock v:ext="edit" aspectratio="f"/>
              </v:line>
            </w:pict>
          </mc:Fallback>
        </mc:AlternateContent>
      </w:r>
      <w:r>
        <w:rPr>
          <w:rFonts w:ascii="Times New Roman" w:hAnsi="Times New Roman" w:eastAsia="方正仿宋_GBK" w:cs="Times New Roman"/>
          <w:snapToGrid w:val="0"/>
          <w:color w:val="000000"/>
          <w:spacing w:val="0"/>
          <w:kern w:val="0"/>
          <w:sz w:val="28"/>
          <w:szCs w:val="32"/>
          <w:lang w:bidi="ar-SA"/>
        </w:rPr>
        <w:t xml:space="preserve">江苏省医疗保障局办公室      </w:t>
      </w:r>
      <w:r>
        <w:rPr>
          <w:rFonts w:hint="eastAsia" w:ascii="Times New Roman" w:hAnsi="Times New Roman" w:eastAsia="方正仿宋_GBK" w:cs="Times New Roman"/>
          <w:snapToGrid w:val="0"/>
          <w:color w:val="000000"/>
          <w:spacing w:val="0"/>
          <w:kern w:val="0"/>
          <w:sz w:val="28"/>
          <w:szCs w:val="32"/>
          <w:lang w:bidi="ar-SA"/>
        </w:rPr>
        <w:t xml:space="preserve">     </w:t>
      </w:r>
      <w:r>
        <w:rPr>
          <w:rFonts w:hint="eastAsia" w:ascii="Times New Roman" w:hAnsi="Times New Roman" w:eastAsia="方正仿宋_GBK" w:cs="Times New Roman"/>
          <w:snapToGrid w:val="0"/>
          <w:color w:val="000000"/>
          <w:spacing w:val="0"/>
          <w:kern w:val="0"/>
          <w:sz w:val="28"/>
          <w:szCs w:val="32"/>
          <w:lang w:val="en-US" w:eastAsia="zh-CN" w:bidi="ar-SA"/>
        </w:rPr>
        <w:t xml:space="preserve">    </w:t>
      </w:r>
      <w:r>
        <w:rPr>
          <w:rFonts w:hint="eastAsia" w:ascii="Times New Roman" w:hAnsi="Times New Roman" w:eastAsia="方正仿宋_GBK" w:cs="Times New Roman"/>
          <w:snapToGrid w:val="0"/>
          <w:color w:val="000000"/>
          <w:spacing w:val="0"/>
          <w:kern w:val="0"/>
          <w:sz w:val="28"/>
          <w:szCs w:val="32"/>
          <w:lang w:bidi="ar-SA"/>
        </w:rPr>
        <w:t xml:space="preserve">   </w:t>
      </w:r>
      <w:r>
        <w:rPr>
          <w:rFonts w:ascii="Times New Roman" w:hAnsi="Times New Roman" w:eastAsia="方正仿宋_GBK" w:cs="Times New Roman"/>
          <w:snapToGrid w:val="0"/>
          <w:color w:val="000000"/>
          <w:spacing w:val="0"/>
          <w:kern w:val="0"/>
          <w:sz w:val="28"/>
          <w:szCs w:val="32"/>
          <w:lang w:bidi="ar-SA"/>
        </w:rPr>
        <w:t>20</w:t>
      </w:r>
      <w:r>
        <w:rPr>
          <w:rFonts w:hint="eastAsia" w:ascii="Times New Roman" w:hAnsi="Times New Roman" w:eastAsia="方正仿宋_GBK" w:cs="Times New Roman"/>
          <w:snapToGrid w:val="0"/>
          <w:color w:val="000000"/>
          <w:spacing w:val="0"/>
          <w:kern w:val="0"/>
          <w:sz w:val="28"/>
          <w:szCs w:val="32"/>
          <w:lang w:bidi="ar-SA"/>
        </w:rPr>
        <w:t>2</w:t>
      </w:r>
      <w:r>
        <w:rPr>
          <w:rFonts w:hint="eastAsia" w:ascii="Times New Roman" w:hAnsi="Times New Roman" w:eastAsia="方正仿宋_GBK" w:cs="Times New Roman"/>
          <w:snapToGrid w:val="0"/>
          <w:color w:val="000000"/>
          <w:spacing w:val="0"/>
          <w:kern w:val="0"/>
          <w:sz w:val="28"/>
          <w:szCs w:val="32"/>
          <w:lang w:val="en-US" w:eastAsia="zh-CN" w:bidi="ar-SA"/>
        </w:rPr>
        <w:t>5</w:t>
      </w:r>
      <w:r>
        <w:rPr>
          <w:rFonts w:ascii="Times New Roman" w:hAnsi="Times New Roman" w:eastAsia="方正仿宋_GBK" w:cs="Times New Roman"/>
          <w:snapToGrid w:val="0"/>
          <w:color w:val="000000"/>
          <w:spacing w:val="0"/>
          <w:kern w:val="0"/>
          <w:sz w:val="28"/>
          <w:szCs w:val="32"/>
          <w:lang w:bidi="ar-SA"/>
        </w:rPr>
        <w:t>年</w:t>
      </w:r>
      <w:r>
        <w:rPr>
          <w:rFonts w:hint="eastAsia" w:ascii="Times New Roman" w:hAnsi="Times New Roman" w:eastAsia="方正仿宋_GBK" w:cs="Times New Roman"/>
          <w:snapToGrid w:val="0"/>
          <w:color w:val="000000"/>
          <w:spacing w:val="0"/>
          <w:kern w:val="0"/>
          <w:sz w:val="28"/>
          <w:szCs w:val="32"/>
          <w:lang w:val="en-US" w:eastAsia="zh-CN" w:bidi="ar-SA"/>
        </w:rPr>
        <w:t>6</w:t>
      </w:r>
      <w:r>
        <w:rPr>
          <w:rFonts w:ascii="Times New Roman" w:hAnsi="Times New Roman" w:eastAsia="方正仿宋_GBK" w:cs="Times New Roman"/>
          <w:snapToGrid w:val="0"/>
          <w:color w:val="000000"/>
          <w:spacing w:val="0"/>
          <w:kern w:val="0"/>
          <w:sz w:val="28"/>
          <w:szCs w:val="32"/>
          <w:lang w:bidi="ar-SA"/>
        </w:rPr>
        <w:t>月</w:t>
      </w:r>
      <w:r>
        <w:rPr>
          <w:rFonts w:hint="eastAsia" w:ascii="Times New Roman" w:hAnsi="Times New Roman" w:eastAsia="方正仿宋_GBK" w:cs="Times New Roman"/>
          <w:snapToGrid w:val="0"/>
          <w:color w:val="000000"/>
          <w:spacing w:val="0"/>
          <w:kern w:val="0"/>
          <w:sz w:val="28"/>
          <w:szCs w:val="32"/>
          <w:lang w:val="en-US" w:eastAsia="zh-CN" w:bidi="ar-SA"/>
        </w:rPr>
        <w:t>17</w:t>
      </w:r>
      <w:r>
        <w:rPr>
          <w:rFonts w:ascii="Times New Roman" w:hAnsi="Times New Roman" w:eastAsia="方正仿宋_GBK" w:cs="Times New Roman"/>
          <w:snapToGrid w:val="0"/>
          <w:color w:val="000000"/>
          <w:spacing w:val="0"/>
          <w:kern w:val="0"/>
          <w:sz w:val="28"/>
          <w:szCs w:val="32"/>
          <w:lang w:bidi="ar-SA"/>
        </w:rPr>
        <w:t>日印发</w:t>
      </w:r>
    </w:p>
    <w:sectPr>
      <w:footerReference r:id="rId5" w:type="default"/>
      <w:pgSz w:w="11907" w:h="16840"/>
      <w:pgMar w:top="2098" w:right="1474" w:bottom="1984"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Luxi Sans">
    <w:altName w:val="仿宋_GB2312"/>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宋体S-超大字符集(SIP)">
    <w:panose1 w:val="03000509000000000000"/>
    <w:charset w:val="86"/>
    <w:family w:val="auto"/>
    <w:pitch w:val="default"/>
    <w:sig w:usb0="00000003" w:usb1="0A0E0800" w:usb2="0000000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kinsoku/>
      <w:wordWrap/>
      <w:overflowPunct/>
      <w:topLinePunct w:val="0"/>
      <w:autoSpaceDE/>
      <w:autoSpaceDN/>
      <w:bidi w:val="0"/>
      <w:adjustRightInd/>
      <w:snapToGrid w:val="0"/>
      <w:spacing w:line="240" w:lineRule="exact"/>
      <w:textAlignment w:val="auto"/>
      <w:rPr>
        <w:rFonts w:eastAsia="方正仿宋_GBK"/>
        <w:sz w:val="44"/>
        <w:szCs w:val="24"/>
        <w:lang w:eastAsia="zh-CN"/>
      </w:rPr>
    </w:pPr>
    <w:r>
      <w:rPr>
        <w:sz w:val="44"/>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kinsoku/>
      <w:wordWrap/>
      <w:overflowPunct/>
      <w:topLinePunct w:val="0"/>
      <w:autoSpaceDE/>
      <w:autoSpaceDN/>
      <w:bidi w:val="0"/>
      <w:adjustRightInd/>
      <w:snapToGrid w:val="0"/>
      <w:spacing w:line="240" w:lineRule="exact"/>
      <w:textAlignment w:val="auto"/>
      <w:rPr>
        <w:rFonts w:eastAsia="方正仿宋_GBK"/>
        <w:sz w:val="44"/>
        <w:szCs w:val="24"/>
        <w:lang w:eastAsia="zh-CN"/>
      </w:rPr>
    </w:pPr>
    <w:r>
      <w:rPr>
        <w:sz w:val="4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17</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17</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kinsoku/>
      <w:wordWrap/>
      <w:overflowPunct/>
      <w:topLinePunct w:val="0"/>
      <w:autoSpaceDE/>
      <w:autoSpaceDN/>
      <w:bidi w:val="0"/>
      <w:adjustRightInd/>
      <w:snapToGrid w:val="0"/>
      <w:spacing w:line="240" w:lineRule="exact"/>
      <w:textAlignment w:val="auto"/>
      <w:rPr>
        <w:rFonts w:eastAsia="方正仿宋_GBK"/>
        <w:sz w:val="44"/>
        <w:szCs w:val="24"/>
        <w:lang w:eastAsia="zh-CN"/>
      </w:rPr>
    </w:pPr>
    <w:r>
      <w:rPr>
        <w:sz w:val="4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18</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GQA+L8aAgAAKwQAAA4AAAAAAAAAAQAgAAAANQEAAGRycy9lMm9Eb2MueG1sUEsFBgAA&#10;AAAGAAYAWQEAAMEFAAAAAA==&#10;">
              <v:fill on="f" focussize="0,0"/>
              <v:stroke on="f" weight="0.5pt"/>
              <v:imagedata o:title=""/>
              <o:lock v:ext="edit" aspectratio="f"/>
              <v:textbox inset="0mm,0mm,0mm,0mm" style="mso-fit-shape-to-text:t;">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18</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dit="readOnly"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ZTc4NTQ2NWY2ZDM2Yzc4ZmRjM2JhOTNjYjkzYTI1MDUifQ=="/>
  </w:docVars>
  <w:rsids>
    <w:rsidRoot w:val="00000000"/>
    <w:rsid w:val="05FF6E64"/>
    <w:rsid w:val="1BDB14A2"/>
    <w:rsid w:val="1BF9B7B9"/>
    <w:rsid w:val="1FFDC000"/>
    <w:rsid w:val="2FAF3E67"/>
    <w:rsid w:val="3B68B658"/>
    <w:rsid w:val="3DFFB108"/>
    <w:rsid w:val="3EFBB86A"/>
    <w:rsid w:val="3F7B08EA"/>
    <w:rsid w:val="3FFA7C88"/>
    <w:rsid w:val="4601600A"/>
    <w:rsid w:val="47C7B660"/>
    <w:rsid w:val="4FDD44E1"/>
    <w:rsid w:val="4FDED9BC"/>
    <w:rsid w:val="4FF66B9B"/>
    <w:rsid w:val="503E360A"/>
    <w:rsid w:val="5A7F2C8A"/>
    <w:rsid w:val="5EE7DEE1"/>
    <w:rsid w:val="5EEF547C"/>
    <w:rsid w:val="63AB05EE"/>
    <w:rsid w:val="667FAC71"/>
    <w:rsid w:val="6DB36AC7"/>
    <w:rsid w:val="6F0E283B"/>
    <w:rsid w:val="6F4F0C9E"/>
    <w:rsid w:val="6F985221"/>
    <w:rsid w:val="6FDB552F"/>
    <w:rsid w:val="736B8578"/>
    <w:rsid w:val="756E62CF"/>
    <w:rsid w:val="75A7EF80"/>
    <w:rsid w:val="76BF2268"/>
    <w:rsid w:val="77DF7AFB"/>
    <w:rsid w:val="77E2356C"/>
    <w:rsid w:val="7AFD6E75"/>
    <w:rsid w:val="7AFFD533"/>
    <w:rsid w:val="7BFB58D7"/>
    <w:rsid w:val="7BFFC114"/>
    <w:rsid w:val="7DAED69C"/>
    <w:rsid w:val="7DFCDDBD"/>
    <w:rsid w:val="7EED82F9"/>
    <w:rsid w:val="7EF7BE55"/>
    <w:rsid w:val="7EFC4DF7"/>
    <w:rsid w:val="7F2F59A6"/>
    <w:rsid w:val="7F5FE74C"/>
    <w:rsid w:val="7F7D617B"/>
    <w:rsid w:val="7F7D6964"/>
    <w:rsid w:val="7F7F8E08"/>
    <w:rsid w:val="7FBF821F"/>
    <w:rsid w:val="7FD55EE0"/>
    <w:rsid w:val="7FD56EB2"/>
    <w:rsid w:val="7FF7B5DE"/>
    <w:rsid w:val="7FFB9068"/>
    <w:rsid w:val="7FFF3269"/>
    <w:rsid w:val="7FFF85B5"/>
    <w:rsid w:val="9B9D3C1C"/>
    <w:rsid w:val="9FEB9EC4"/>
    <w:rsid w:val="ADBD8C03"/>
    <w:rsid w:val="AFFFFACE"/>
    <w:rsid w:val="B51F5D4C"/>
    <w:rsid w:val="B7B71F4E"/>
    <w:rsid w:val="B7BB82A8"/>
    <w:rsid w:val="B99ABAE9"/>
    <w:rsid w:val="BCD9D8BB"/>
    <w:rsid w:val="BCE61460"/>
    <w:rsid w:val="BEDBE684"/>
    <w:rsid w:val="C4764A90"/>
    <w:rsid w:val="C9FBAE8F"/>
    <w:rsid w:val="D719862F"/>
    <w:rsid w:val="D7B9F0EA"/>
    <w:rsid w:val="DDF7279B"/>
    <w:rsid w:val="DEDFC0E9"/>
    <w:rsid w:val="DFC6368A"/>
    <w:rsid w:val="DFFB8B96"/>
    <w:rsid w:val="DFFD4D44"/>
    <w:rsid w:val="E99D2B3A"/>
    <w:rsid w:val="EDBE2A0D"/>
    <w:rsid w:val="EF67CB29"/>
    <w:rsid w:val="EF8F1A32"/>
    <w:rsid w:val="EFDA9D84"/>
    <w:rsid w:val="EFF72585"/>
    <w:rsid w:val="F14263B7"/>
    <w:rsid w:val="F2FFBB7F"/>
    <w:rsid w:val="F6B7DBFD"/>
    <w:rsid w:val="F70114C7"/>
    <w:rsid w:val="F71D4805"/>
    <w:rsid w:val="F7B70892"/>
    <w:rsid w:val="F7C7227A"/>
    <w:rsid w:val="F7ED644D"/>
    <w:rsid w:val="F8FF057E"/>
    <w:rsid w:val="F977D4A4"/>
    <w:rsid w:val="FBEF4961"/>
    <w:rsid w:val="FBF6C269"/>
    <w:rsid w:val="FBFFE542"/>
    <w:rsid w:val="FCABC69A"/>
    <w:rsid w:val="FCDF8540"/>
    <w:rsid w:val="FD77345D"/>
    <w:rsid w:val="FDBDCEEE"/>
    <w:rsid w:val="FE6BFCA8"/>
    <w:rsid w:val="FEDF1D1A"/>
    <w:rsid w:val="FFD748CD"/>
    <w:rsid w:val="FFE572CC"/>
    <w:rsid w:val="FFEED849"/>
    <w:rsid w:val="FFEFEC9B"/>
    <w:rsid w:val="FFF7F9F9"/>
    <w:rsid w:val="FFFBEE08"/>
    <w:rsid w:val="FFFF33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3">
    <w:name w:val="Default Paragraph Font"/>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0"/>
    <w:pPr>
      <w:spacing w:after="120"/>
    </w:pPr>
    <w:rPr>
      <w:rFonts w:ascii="Calibri" w:hAnsi="Calibri" w:eastAsia="宋体" w:cs="Times New Roman"/>
      <w:szCs w:val="24"/>
      <w:lang w:bidi="ar-SA"/>
    </w:rPr>
  </w:style>
  <w:style w:type="paragraph" w:styleId="6">
    <w:name w:val="Body Text Indent"/>
    <w:basedOn w:val="1"/>
    <w:qFormat/>
    <w:uiPriority w:val="0"/>
    <w:pPr>
      <w:spacing w:line="150" w:lineRule="atLeast"/>
      <w:ind w:firstLine="200" w:firstLineChars="200"/>
      <w:textAlignment w:val="baseline"/>
    </w:pPr>
    <w:rPr>
      <w:rFonts w:ascii="Times New Roman" w:hAnsi="Times New Roman" w:cs="Times New Roman"/>
      <w:szCs w:val="24"/>
      <w:lang w:bidi="ar-SA"/>
    </w:rPr>
  </w:style>
  <w:style w:type="paragraph" w:styleId="7">
    <w:name w:val="Plain Text"/>
    <w:basedOn w:val="1"/>
    <w:qFormat/>
    <w:uiPriority w:val="0"/>
    <w:pPr>
      <w:keepNext w:val="0"/>
      <w:keepLines w:val="0"/>
      <w:widowControl w:val="0"/>
      <w:suppressLineNumbers w:val="0"/>
      <w:spacing w:before="0" w:beforeAutospacing="0" w:after="0" w:afterAutospacing="0" w:line="240" w:lineRule="auto"/>
      <w:ind w:left="0" w:firstLine="0"/>
      <w:jc w:val="both"/>
    </w:pPr>
    <w:rPr>
      <w:rFonts w:hint="eastAsia" w:ascii="宋体" w:hAnsi="宋体" w:eastAsia="宋体" w:cs="宋体"/>
      <w:kern w:val="2"/>
      <w:sz w:val="21"/>
      <w:szCs w:val="24"/>
      <w:lang w:val="en-US" w:eastAsia="zh-CN" w:bidi="ar"/>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rPr>
  </w:style>
  <w:style w:type="paragraph" w:styleId="11">
    <w:name w:val="Body Text First Indent 2"/>
    <w:basedOn w:val="6"/>
    <w:qFormat/>
    <w:uiPriority w:val="0"/>
    <w:pPr>
      <w:spacing w:line="360" w:lineRule="auto"/>
    </w:pPr>
    <w:rPr>
      <w:rFonts w:eastAsia="宋体"/>
      <w:sz w:val="24"/>
    </w:rPr>
  </w:style>
  <w:style w:type="character" w:customStyle="1" w:styleId="14">
    <w:name w:val="font11"/>
    <w:basedOn w:val="13"/>
    <w:qFormat/>
    <w:uiPriority w:val="0"/>
    <w:rPr>
      <w:rFonts w:ascii="方正黑体_GBK" w:eastAsia="方正黑体_GBK" w:cs="方正黑体_GBK"/>
      <w:color w:val="000000"/>
      <w:sz w:val="24"/>
      <w:szCs w:val="24"/>
      <w:u w:val="none"/>
    </w:rPr>
  </w:style>
  <w:style w:type="character" w:customStyle="1" w:styleId="15">
    <w:name w:val="font91"/>
    <w:basedOn w:val="13"/>
    <w:qFormat/>
    <w:uiPriority w:val="0"/>
    <w:rPr>
      <w:rFonts w:ascii="方正仿宋_GBK" w:eastAsia="方正仿宋_GBK" w:cs="方正仿宋_GBK"/>
      <w:color w:val="000000"/>
      <w:sz w:val="22"/>
      <w:szCs w:val="22"/>
      <w:u w:val="none"/>
    </w:rPr>
  </w:style>
  <w:style w:type="character" w:customStyle="1" w:styleId="16">
    <w:name w:val="font112"/>
    <w:basedOn w:val="13"/>
    <w:qFormat/>
    <w:uiPriority w:val="0"/>
    <w:rPr>
      <w:rFonts w:ascii="方正仿宋_GBK" w:eastAsia="方正仿宋_GBK" w:cs="方正仿宋_GBK"/>
      <w:color w:val="FF0000"/>
      <w:sz w:val="24"/>
      <w:szCs w:val="24"/>
      <w:u w:val="none"/>
    </w:rPr>
  </w:style>
  <w:style w:type="character" w:customStyle="1" w:styleId="17">
    <w:name w:val="font71"/>
    <w:basedOn w:val="13"/>
    <w:qFormat/>
    <w:uiPriority w:val="0"/>
    <w:rPr>
      <w:rFonts w:ascii="方正仿宋_GBK" w:eastAsia="方正仿宋_GBK" w:cs="方正仿宋_GBK"/>
      <w:color w:val="000000"/>
      <w:sz w:val="24"/>
      <w:szCs w:val="24"/>
      <w:u w:val="none"/>
    </w:rPr>
  </w:style>
  <w:style w:type="character" w:customStyle="1" w:styleId="18">
    <w:name w:val="font81"/>
    <w:basedOn w:val="13"/>
    <w:qFormat/>
    <w:uiPriority w:val="0"/>
    <w:rPr>
      <w:rFonts w:ascii="方正仿宋_GBK" w:eastAsia="方正仿宋_GBK" w:cs="方正仿宋_GBK"/>
      <w:color w:val="000000"/>
      <w:sz w:val="24"/>
      <w:szCs w:val="24"/>
      <w:u w:val="none"/>
    </w:rPr>
  </w:style>
  <w:style w:type="character" w:customStyle="1" w:styleId="19">
    <w:name w:val="font131"/>
    <w:basedOn w:val="13"/>
    <w:qFormat/>
    <w:uiPriority w:val="0"/>
    <w:rPr>
      <w:rFonts w:ascii="方正仿宋_GBK" w:eastAsia="方正仿宋_GBK" w:cs="方正仿宋_GBK"/>
      <w:strike/>
      <w:color w:val="FF0000"/>
      <w:sz w:val="24"/>
      <w:szCs w:val="24"/>
    </w:rPr>
  </w:style>
  <w:style w:type="character" w:customStyle="1" w:styleId="20">
    <w:name w:val="font141"/>
    <w:basedOn w:val="13"/>
    <w:qFormat/>
    <w:uiPriority w:val="0"/>
    <w:rPr>
      <w:rFonts w:ascii="方正仿宋_GBK" w:eastAsia="方正仿宋_GBK" w:cs="方正仿宋_GBK"/>
      <w:strike/>
      <w:color w:val="000000"/>
      <w:sz w:val="24"/>
      <w:szCs w:val="24"/>
    </w:rPr>
  </w:style>
  <w:style w:type="character" w:customStyle="1" w:styleId="21">
    <w:name w:val="font41"/>
    <w:basedOn w:val="13"/>
    <w:qFormat/>
    <w:uiPriority w:val="0"/>
    <w:rPr>
      <w:rFonts w:ascii="方正黑体_GBK" w:eastAsia="方正黑体_GBK" w:cs="方正黑体_GBK"/>
      <w:color w:val="000000"/>
      <w:sz w:val="22"/>
      <w:szCs w:val="22"/>
      <w:u w:val="none"/>
    </w:rPr>
  </w:style>
  <w:style w:type="character" w:customStyle="1" w:styleId="22">
    <w:name w:val="font51"/>
    <w:basedOn w:val="13"/>
    <w:qFormat/>
    <w:uiPriority w:val="0"/>
    <w:rPr>
      <w:rFonts w:ascii="方正仿宋_GBK" w:eastAsia="方正仿宋_GBK" w:cs="方正仿宋_GBK"/>
      <w:color w:val="000000"/>
      <w:sz w:val="20"/>
      <w:szCs w:val="20"/>
      <w:u w:val="none"/>
    </w:rPr>
  </w:style>
  <w:style w:type="character" w:customStyle="1" w:styleId="23">
    <w:name w:val="font31"/>
    <w:basedOn w:val="13"/>
    <w:qFormat/>
    <w:uiPriority w:val="0"/>
    <w:rPr>
      <w:rFonts w:ascii="方正仿宋_GBK" w:eastAsia="方正仿宋_GBK" w:cs="方正仿宋_GBK"/>
      <w:color w:val="000000"/>
      <w:sz w:val="22"/>
      <w:szCs w:val="22"/>
      <w:u w:val="none"/>
    </w:rPr>
  </w:style>
  <w:style w:type="character" w:customStyle="1" w:styleId="24">
    <w:name w:val="font21"/>
    <w:basedOn w:val="13"/>
    <w:qFormat/>
    <w:uiPriority w:val="0"/>
    <w:rPr>
      <w:rFonts w:ascii="方正仿宋_GBK" w:eastAsia="方正仿宋_GBK" w:cs="方正仿宋_GBK"/>
      <w:color w:val="000000"/>
      <w:sz w:val="20"/>
      <w:szCs w:val="20"/>
      <w:u w:val="none"/>
    </w:rPr>
  </w:style>
  <w:style w:type="character" w:customStyle="1" w:styleId="25">
    <w:name w:val="font01"/>
    <w:basedOn w:val="13"/>
    <w:qFormat/>
    <w:uiPriority w:val="0"/>
    <w:rPr>
      <w:rFonts w:hint="eastAsia" w:ascii="方正仿宋_GBK" w:hAnsi="方正仿宋_GBK" w:eastAsia="方正仿宋_GBK" w:cs="方正仿宋_GBK"/>
      <w:color w:val="000000"/>
      <w:sz w:val="20"/>
      <w:szCs w:val="20"/>
      <w:u w:val="none"/>
    </w:rPr>
  </w:style>
  <w:style w:type="character" w:customStyle="1" w:styleId="26">
    <w:name w:val="font61"/>
    <w:basedOn w:val="13"/>
    <w:qFormat/>
    <w:uiPriority w:val="0"/>
    <w:rPr>
      <w:rFonts w:hint="default" w:ascii="Times New Roman" w:hAnsi="Times New Roman" w:cs="Times New Roman"/>
      <w:color w:val="000000"/>
      <w:sz w:val="20"/>
      <w:szCs w:val="20"/>
      <w:u w:val="none"/>
    </w:rPr>
  </w:style>
  <w:style w:type="character" w:customStyle="1" w:styleId="27">
    <w:name w:val="font101"/>
    <w:basedOn w:val="13"/>
    <w:qFormat/>
    <w:uiPriority w:val="0"/>
    <w:rPr>
      <w:rFonts w:ascii="方正仿宋_GBK" w:eastAsia="方正仿宋_GBK" w:cs="方正仿宋_GBK"/>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5</Pages>
  <Words>951</Words>
  <Characters>1219</Characters>
  <Lines>188</Lines>
  <Paragraphs>116</Paragraphs>
  <TotalTime>7</TotalTime>
  <ScaleCrop>false</ScaleCrop>
  <LinksUpToDate>false</LinksUpToDate>
  <CharactersWithSpaces>1246</CharactersWithSpaces>
  <Application>WPS Office_11.8.2.9958_F1E327BC-269C-435d-A152-05C5408002CA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2014-11-08T12:08:00Z</dcterms:created>
  <dc:creator>Administrator</dc:creator>
  <cp:lastModifiedBy>kylin</cp:lastModifiedBy>
  <cp:lastPrinted>2025-06-17T18:32:00Z</cp:lastPrinted>
  <dcterms:modified xsi:type="dcterms:W3CDTF">2025-06-17T16:59:07Z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60A8B6203F0C4747BA35B52DE0A26981_13</vt:lpwstr>
  </property>
</Properties>
</file>