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A857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zhengwen"/>
      <w:r>
        <w:rPr>
          <w:rFonts w:hint="eastAsia" w:ascii="方正小标宋简体" w:hAnsi="方正小标宋简体" w:eastAsia="方正小标宋简体" w:cs="方正小标宋简体"/>
          <w:sz w:val="44"/>
          <w:szCs w:val="44"/>
          <w:lang w:val="en-US" w:eastAsia="zh-CN"/>
        </w:rPr>
        <w:t>贯彻落实《关于进一步做好医药机构医疗保障定点申请受理评估有关工作的通知》的</w:t>
      </w:r>
    </w:p>
    <w:p w14:paraId="07FABC6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实施细则</w:t>
      </w:r>
    </w:p>
    <w:p w14:paraId="1A5B5AE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sz w:val="32"/>
          <w:szCs w:val="32"/>
          <w:lang w:val="en-US" w:eastAsia="zh-CN"/>
        </w:rPr>
      </w:pPr>
    </w:p>
    <w:p w14:paraId="3B50869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各县级市（区）医疗保障经办机构</w:t>
      </w:r>
      <w:r>
        <w:rPr>
          <w:rFonts w:hint="default" w:ascii="Times New Roman" w:hAnsi="Times New Roman" w:eastAsia="仿宋_GB2312" w:cs="Times New Roman"/>
          <w:sz w:val="32"/>
          <w:szCs w:val="32"/>
        </w:rPr>
        <w:t>：</w:t>
      </w:r>
    </w:p>
    <w:p w14:paraId="005A80A6">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为进一步</w:t>
      </w:r>
      <w:r>
        <w:rPr>
          <w:rFonts w:hint="default" w:ascii="Times New Roman" w:hAnsi="Times New Roman" w:eastAsia="仿宋_GB2312" w:cs="Times New Roman"/>
          <w:sz w:val="32"/>
          <w:szCs w:val="32"/>
          <w:lang w:val="en-US" w:eastAsia="zh-CN"/>
        </w:rPr>
        <w:t>加强和规范医疗保障定点协议管理</w:t>
      </w:r>
      <w:r>
        <w:rPr>
          <w:rFonts w:hint="default" w:ascii="Times New Roman" w:hAnsi="Times New Roman" w:eastAsia="仿宋_GB2312" w:cs="Times New Roman"/>
          <w:sz w:val="32"/>
          <w:szCs w:val="32"/>
        </w:rPr>
        <w:t>，根据《关于进一步做好医药机构医疗保障定点申请受理评估有关工作的通知》（</w:t>
      </w:r>
      <w:r>
        <w:rPr>
          <w:rFonts w:hint="default" w:ascii="Times New Roman" w:hAnsi="Times New Roman" w:eastAsia="仿宋_GB2312" w:cs="Times New Roman"/>
          <w:sz w:val="32"/>
          <w:szCs w:val="32"/>
          <w:lang w:eastAsia="zh-CN"/>
        </w:rPr>
        <w:t>苏医保办</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val="en-US" w:eastAsia="zh-CN"/>
        </w:rPr>
        <w:t>有关规定</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结合本市医保协议管理工作实际，制定本</w:t>
      </w:r>
      <w:r>
        <w:rPr>
          <w:rFonts w:hint="default" w:ascii="Times New Roman" w:hAnsi="Times New Roman" w:eastAsia="仿宋_GB2312" w:cs="Times New Roman"/>
          <w:sz w:val="32"/>
          <w:szCs w:val="32"/>
          <w:lang w:val="en-US" w:eastAsia="zh-CN"/>
        </w:rPr>
        <w:t>实施细则，</w:t>
      </w:r>
      <w:r>
        <w:rPr>
          <w:rFonts w:hint="default" w:ascii="Times New Roman" w:hAnsi="Times New Roman" w:eastAsia="仿宋_GB2312" w:cs="Times New Roman"/>
          <w:sz w:val="32"/>
          <w:szCs w:val="32"/>
          <w:lang w:eastAsia="zh-CN"/>
        </w:rPr>
        <w:t>适用于</w:t>
      </w:r>
      <w:r>
        <w:rPr>
          <w:rFonts w:hint="default" w:ascii="Times New Roman" w:hAnsi="Times New Roman" w:eastAsia="仿宋_GB2312" w:cs="Times New Roman"/>
          <w:sz w:val="32"/>
          <w:szCs w:val="32"/>
        </w:rPr>
        <w:t>医药机构</w:t>
      </w:r>
      <w:r>
        <w:rPr>
          <w:rFonts w:hint="default" w:ascii="Times New Roman" w:hAnsi="Times New Roman" w:eastAsia="仿宋_GB2312" w:cs="Times New Roman"/>
          <w:sz w:val="32"/>
          <w:szCs w:val="32"/>
          <w:lang w:val="en-US" w:eastAsia="zh-CN"/>
        </w:rPr>
        <w:t>定点申请受理、评估和验收有关工作。</w:t>
      </w:r>
    </w:p>
    <w:p w14:paraId="1C05EBD1">
      <w:pPr>
        <w:keepNext w:val="0"/>
        <w:keepLines w:val="0"/>
        <w:pageBreakBefore w:val="0"/>
        <w:numPr>
          <w:ilvl w:val="0"/>
          <w:numId w:val="1"/>
        </w:numPr>
        <w:kinsoku/>
        <w:wordWrap/>
        <w:overflowPunct/>
        <w:topLinePunct w:val="0"/>
        <w:autoSpaceDE/>
        <w:autoSpaceDN/>
        <w:bidi w:val="0"/>
        <w:adjustRightInd/>
        <w:snapToGrid/>
        <w:spacing w:line="240" w:lineRule="auto"/>
        <w:ind w:left="30" w:leftChars="0" w:firstLine="60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加强对医药机构“正式运营至少3个月”的核查</w:t>
      </w:r>
    </w:p>
    <w:p w14:paraId="161A8174">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各医疗保障经办机构通过核查证照、发票、人员等方式，核查医药机构是否满足“正式运营至少3个月”，其中涉及搬迁的医药机构，必须在现址正式运营至少3个月。</w:t>
      </w:r>
    </w:p>
    <w:p w14:paraId="53DB3C12">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 w:val="0"/>
          <w:bCs w:val="0"/>
          <w:sz w:val="32"/>
          <w:szCs w:val="32"/>
          <w:lang w:val="en-US" w:eastAsia="zh-CN"/>
        </w:rPr>
        <w:t>1.证照核查。</w:t>
      </w:r>
      <w:r>
        <w:rPr>
          <w:rFonts w:hint="default" w:ascii="Times New Roman" w:hAnsi="Times New Roman" w:eastAsia="仿宋_GB2312" w:cs="Times New Roman"/>
          <w:sz w:val="32"/>
          <w:szCs w:val="32"/>
          <w:lang w:val="en-US" w:eastAsia="zh-CN"/>
        </w:rPr>
        <w:t>核查</w:t>
      </w:r>
      <w:r>
        <w:rPr>
          <w:rFonts w:hint="default" w:ascii="Times New Roman" w:hAnsi="Times New Roman" w:eastAsia="仿宋_GB2312" w:cs="Times New Roman"/>
          <w:bCs/>
          <w:sz w:val="32"/>
          <w:szCs w:val="32"/>
          <w:lang w:val="en-US" w:eastAsia="zh-CN"/>
        </w:rPr>
        <w:t>《</w:t>
      </w:r>
      <w:r>
        <w:rPr>
          <w:rFonts w:hint="default" w:ascii="Times New Roman" w:hAnsi="Times New Roman" w:eastAsia="仿宋_GB2312" w:cs="Times New Roman"/>
          <w:sz w:val="32"/>
          <w:szCs w:val="32"/>
          <w:lang w:val="en-US" w:eastAsia="zh-CN"/>
        </w:rPr>
        <w:t>营业执照》或《事业法人登记证书》或《民办非企业单位登记证书》《医疗机构执业许可证》或《中医诊所备案证》或《诊所备案证》或《药品经营许可证》的发证日期与申请日期的间隔是否满足不少于3个月。</w:t>
      </w:r>
    </w:p>
    <w:p w14:paraId="16B0D3E5">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2.发票核查。</w:t>
      </w:r>
      <w:r>
        <w:rPr>
          <w:rFonts w:hint="default" w:ascii="Times New Roman" w:hAnsi="Times New Roman" w:eastAsia="仿宋_GB2312" w:cs="Times New Roman"/>
          <w:sz w:val="32"/>
          <w:szCs w:val="32"/>
          <w:lang w:val="en-US" w:eastAsia="zh-CN"/>
        </w:rPr>
        <w:t>核查医药机构营业以来的发票，其中首张发票日期与申请日期的间隔是否满足不少于3个月，护理院</w:t>
      </w:r>
      <w:bookmarkStart w:id="1" w:name="_GoBack"/>
      <w:bookmarkEnd w:id="1"/>
      <w:r>
        <w:rPr>
          <w:rFonts w:hint="default" w:ascii="Times New Roman" w:hAnsi="Times New Roman" w:eastAsia="仿宋_GB2312" w:cs="Times New Roman"/>
          <w:sz w:val="32"/>
          <w:szCs w:val="32"/>
          <w:lang w:val="en-US" w:eastAsia="zh-CN"/>
        </w:rPr>
        <w:t>查验首位病人的入院日期与申请日期的间隔是否满足不少于3个月。</w:t>
      </w:r>
    </w:p>
    <w:p w14:paraId="5275BC39">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3.人员核查</w:t>
      </w:r>
    </w:p>
    <w:p w14:paraId="2D127433">
      <w:pPr>
        <w:keepNext w:val="0"/>
        <w:keepLines w:val="0"/>
        <w:pageBreakBefore w:val="0"/>
        <w:numPr>
          <w:ilvl w:val="0"/>
          <w:numId w:val="2"/>
        </w:numPr>
        <w:kinsoku/>
        <w:wordWrap/>
        <w:overflowPunct/>
        <w:topLinePunct w:val="0"/>
        <w:autoSpaceDE/>
        <w:autoSpaceDN/>
        <w:bidi w:val="0"/>
        <w:adjustRightInd/>
        <w:snapToGrid/>
        <w:spacing w:line="240" w:lineRule="auto"/>
        <w:ind w:firstLine="6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医疗机构：核查执业医师注册在本单位的时间，需同时满足以下条件：①首位执业医师注册在本单位的日期距申请日期的间隔不少于3个月；②执业医师累计注册在本单位的时间不少于3个月。 </w:t>
      </w:r>
    </w:p>
    <w:p w14:paraId="1DD21002">
      <w:pPr>
        <w:keepNext w:val="0"/>
        <w:keepLines w:val="0"/>
        <w:pageBreakBefore w:val="0"/>
        <w:numPr>
          <w:ilvl w:val="0"/>
          <w:numId w:val="2"/>
        </w:numPr>
        <w:kinsoku/>
        <w:wordWrap/>
        <w:overflowPunct/>
        <w:topLinePunct w:val="0"/>
        <w:autoSpaceDE/>
        <w:autoSpaceDN/>
        <w:bidi w:val="0"/>
        <w:adjustRightInd/>
        <w:snapToGrid/>
        <w:spacing w:line="240" w:lineRule="auto"/>
        <w:ind w:left="0" w:leftChars="0" w:firstLine="600" w:firstLine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零售药店：核查执业药师注册在本单位的时间，需同时满足以下条件：①首位执业药师注册在本单位的日期距申请日期的间隔不少于3个月；②执业药师累计注册在本单位的时间不少于3个月。</w:t>
      </w:r>
    </w:p>
    <w:p w14:paraId="1BD7EC1B">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现场评估期间进一步加强对医师、护士、医技人员、护理员、药学人员、药师等人员参保情况的核查，要求相关必备人员必须参保在本单位，同时提供参保缴费证明材料，其中多点执业医师在任一执业地点参保缴费均可。</w:t>
      </w:r>
    </w:p>
    <w:p w14:paraId="6F33F7CE">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二、强化对医药机构掌握医保管理知识的考查</w:t>
      </w:r>
    </w:p>
    <w:p w14:paraId="350363AD">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各医疗保障经办机构通过协商谈判等方式，考查医药机构相关人员对医保管理知识的掌握程度，择优签订医保协议，考查内容全市统一。</w:t>
      </w:r>
    </w:p>
    <w:p w14:paraId="6CD1EED1">
      <w:pPr>
        <w:keepNext w:val="0"/>
        <w:keepLines w:val="0"/>
        <w:pageBreakBefore w:val="0"/>
        <w:widowControl/>
        <w:shd w:val="clear" w:color="auto" w:fill="FFFFFF"/>
        <w:kinsoku/>
        <w:wordWrap/>
        <w:overflowPunct/>
        <w:topLinePunct w:val="0"/>
        <w:autoSpaceDE/>
        <w:autoSpaceDN/>
        <w:bidi w:val="0"/>
        <w:adjustRightInd/>
        <w:snapToGrid/>
        <w:spacing w:afterAutospacing="0" w:line="240" w:lineRule="auto"/>
        <w:ind w:firstLine="643" w:firstLineChars="200"/>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楷体_GB2312" w:hAnsi="楷体_GB2312" w:eastAsia="楷体_GB2312" w:cs="楷体_GB2312"/>
          <w:b w:val="0"/>
          <w:bCs w:val="0"/>
          <w:sz w:val="32"/>
          <w:szCs w:val="32"/>
          <w:lang w:val="en-US" w:eastAsia="zh-CN"/>
        </w:rPr>
        <w:t>1.考查内容。</w:t>
      </w:r>
      <w:r>
        <w:rPr>
          <w:rFonts w:hint="default" w:ascii="Times New Roman" w:hAnsi="Times New Roman" w:eastAsia="仿宋_GB2312" w:cs="Times New Roman"/>
          <w:sz w:val="32"/>
          <w:szCs w:val="32"/>
          <w:lang w:val="en-US" w:eastAsia="zh-CN"/>
        </w:rPr>
        <w:t>《医疗机构医疗保障定点管理暂行办法》（国家医疗保障局令第2号）、《零售药店医疗保障定点管理暂行办法》（国家医疗保障局令第3号）、《医疗保障基金使用监督管理条例》《苏州市基本医疗保障定点医院医疗服务协议》《苏州市基本医疗保障定点门诊类医疗机构服务协议》《苏州市基本医疗保障定点零售药店服务协议》等。</w:t>
      </w:r>
    </w:p>
    <w:p w14:paraId="574A9C40">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2.考查对象</w:t>
      </w:r>
    </w:p>
    <w:p w14:paraId="639BDFAA">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（1）医院、护理院：法定代表人、主要负责人、分管院长、医保办主任；</w:t>
      </w:r>
    </w:p>
    <w:p w14:paraId="17CCB2D5">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（2）门诊类医疗机构：法定代表人、主要负责人、医保负责人；</w:t>
      </w:r>
    </w:p>
    <w:p w14:paraId="7B40B71C">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（3）零售药店（连锁）：法定代表人、企业负责人、医保负责人、分店店长；</w:t>
      </w:r>
    </w:p>
    <w:p w14:paraId="361B2F5F">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（4）零售药店（单体）：法定代表人、企业负责人、医保负责人。</w:t>
      </w:r>
    </w:p>
    <w:p w14:paraId="42EFFCE0">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医药机构需提供证照、任命文件或情况说明、身份证等相关材料，以确保考查对象身份真实准确，且务必严格按照人数要求派员参加，中途不可随意更换或增减人员。</w:t>
      </w:r>
    </w:p>
    <w:p w14:paraId="53FE5266">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3.考查时间。</w:t>
      </w:r>
      <w:r>
        <w:rPr>
          <w:rFonts w:hint="eastAsia" w:ascii="仿宋_GB2312" w:hAnsi="仿宋_GB2312" w:eastAsia="仿宋_GB2312" w:cs="仿宋_GB2312"/>
          <w:sz w:val="32"/>
          <w:szCs w:val="32"/>
          <w:lang w:val="en-US" w:eastAsia="zh-CN"/>
        </w:rPr>
        <w:t>各医疗保障经办机构定期考查新增纳入医保定点的医药机构对于医保管理知识的掌握程度，每月组织一次，时间地点由各医疗保障经办机构另行通知，其中吴中区、相城区、工业园区的医药机构由苏州市医疗保障基金管理中心统一组织。</w:t>
      </w:r>
    </w:p>
    <w:p w14:paraId="33B377AE">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4.考查形式</w:t>
      </w:r>
    </w:p>
    <w:p w14:paraId="67586256">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（1）考查形式：现场线上或线下答题；</w:t>
      </w:r>
    </w:p>
    <w:p w14:paraId="4FF248A9">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（2）题目设置：单选题、多选题、判断题等；</w:t>
      </w:r>
    </w:p>
    <w:p w14:paraId="1934E48D">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（3）时间设置：30分钟；</w:t>
      </w:r>
    </w:p>
    <w:p w14:paraId="166CF338">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（4）考查合格线：满分100分，90分及以上为合格。</w:t>
      </w:r>
    </w:p>
    <w:p w14:paraId="54015DBA">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sz w:val="32"/>
          <w:szCs w:val="32"/>
          <w:lang w:val="en-US" w:eastAsia="zh-CN"/>
        </w:rPr>
        <w:t>5.注意事项。</w:t>
      </w:r>
      <w:r>
        <w:rPr>
          <w:rFonts w:hint="eastAsia" w:ascii="仿宋_GB2312" w:hAnsi="仿宋_GB2312" w:eastAsia="仿宋_GB2312" w:cs="仿宋_GB2312"/>
          <w:b w:val="0"/>
          <w:bCs w:val="0"/>
          <w:sz w:val="32"/>
          <w:szCs w:val="32"/>
          <w:lang w:val="en-US" w:eastAsia="zh-CN"/>
        </w:rPr>
        <w:t>各医疗保障经办机构与所有考查对象均通过</w:t>
      </w:r>
      <w:r>
        <w:rPr>
          <w:rFonts w:hint="eastAsia" w:ascii="仿宋_GB2312" w:hAnsi="仿宋_GB2312" w:eastAsia="仿宋_GB2312" w:cs="仿宋_GB2312"/>
          <w:sz w:val="32"/>
          <w:szCs w:val="32"/>
          <w:lang w:val="en-US" w:eastAsia="zh-CN"/>
        </w:rPr>
        <w:t>考查的医药机构签订医保协议。考查不通过的人员依通知参加下一批次考查。</w:t>
      </w:r>
    </w:p>
    <w:p w14:paraId="763A82F2">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left"/>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三、严格对新定点医药机构开通验收的核查</w:t>
      </w:r>
    </w:p>
    <w:p w14:paraId="58CD471F">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将“电子处方平台接入情况（无处方外流的护理院、对内服务卫生所除外）”“医保码全流程应用”“电子发票”“智慧医保刷脸业务终端应用”等纳入新定点医药机构的现场验收项目，现场验收通过后方可正式划卡结算。</w:t>
      </w:r>
    </w:p>
    <w:p w14:paraId="2AD105FB">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本实施细则自发文之日起施行。</w:t>
      </w:r>
    </w:p>
    <w:p w14:paraId="509BF88C">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p>
    <w:p w14:paraId="14474BB1">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附件：医药机构“正式运营至少3个月”核查标准</w:t>
      </w:r>
    </w:p>
    <w:p w14:paraId="0777C566">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sz w:val="32"/>
          <w:szCs w:val="32"/>
          <w:lang w:val="en-US" w:eastAsia="zh-CN"/>
        </w:rPr>
      </w:pPr>
    </w:p>
    <w:p w14:paraId="2C742784">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sz w:val="32"/>
          <w:szCs w:val="32"/>
          <w:lang w:val="en-US" w:eastAsia="zh-CN"/>
        </w:rPr>
      </w:pPr>
    </w:p>
    <w:p w14:paraId="3370F225">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center"/>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苏州市医疗保障基金管理中心</w:t>
      </w:r>
    </w:p>
    <w:p w14:paraId="1B1FA6A0">
      <w:pPr>
        <w:keepNext w:val="0"/>
        <w:keepLines w:val="0"/>
        <w:pageBreakBefore w:val="0"/>
        <w:numPr>
          <w:ilvl w:val="0"/>
          <w:numId w:val="0"/>
        </w:numPr>
        <w:kinsoku/>
        <w:wordWrap/>
        <w:overflowPunct/>
        <w:topLinePunct w:val="0"/>
        <w:autoSpaceDE/>
        <w:autoSpaceDN/>
        <w:bidi w:val="0"/>
        <w:adjustRightInd/>
        <w:snapToGrid/>
        <w:spacing w:line="240" w:lineRule="auto"/>
        <w:ind w:firstLine="600"/>
        <w:jc w:val="center"/>
        <w:textAlignment w:val="auto"/>
        <w:rPr>
          <w:rFonts w:hint="default" w:ascii="Times New Roman" w:hAnsi="Times New Roman" w:eastAsia="仿宋_GB2312" w:cs="Times New Roman"/>
          <w:sz w:val="32"/>
          <w:szCs w:val="32"/>
          <w:lang w:val="en-US" w:eastAsia="zh-CN"/>
        </w:rPr>
        <w:sectPr>
          <w:footerReference r:id="rId3" w:type="default"/>
          <w:pgSz w:w="11906" w:h="16838"/>
          <w:pgMar w:top="2041" w:right="1474" w:bottom="1984" w:left="1587" w:header="851" w:footer="992" w:gutter="0"/>
          <w:pgNumType w:fmt="decimal"/>
          <w:cols w:space="720" w:num="1"/>
          <w:docGrid w:type="lines" w:linePitch="312" w:charSpace="0"/>
        </w:sectPr>
      </w:pPr>
      <w:r>
        <w:rPr>
          <w:rFonts w:hint="default" w:ascii="Times New Roman" w:hAnsi="Times New Roman" w:eastAsia="仿宋_GB2312" w:cs="Times New Roman"/>
          <w:sz w:val="32"/>
          <w:szCs w:val="32"/>
          <w:lang w:val="en-US" w:eastAsia="zh-CN"/>
        </w:rPr>
        <w:t xml:space="preserve">               2024年6月</w:t>
      </w:r>
      <w:r>
        <w:rPr>
          <w:rFonts w:hint="eastAsia" w:ascii="Times New Roman" w:hAnsi="Times New Roman" w:eastAsia="仿宋_GB2312" w:cs="Times New Roman"/>
          <w:sz w:val="32"/>
          <w:szCs w:val="32"/>
          <w:lang w:val="en-US" w:eastAsia="zh-CN"/>
        </w:rPr>
        <w:t>21日</w:t>
      </w:r>
    </w:p>
    <w:p w14:paraId="0AFE7334">
      <w:pPr>
        <w:keepNext w:val="0"/>
        <w:keepLines w:val="0"/>
        <w:pageBreakBefore w:val="0"/>
        <w:numPr>
          <w:ilvl w:val="0"/>
          <w:numId w:val="0"/>
        </w:numPr>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b w:val="0"/>
          <w:bCs w:val="0"/>
          <w:sz w:val="30"/>
          <w:szCs w:val="30"/>
          <w:lang w:val="en-US" w:eastAsia="zh-CN"/>
        </w:rPr>
      </w:pPr>
      <w:r>
        <w:rPr>
          <w:rFonts w:hint="eastAsia" w:ascii="黑体" w:hAnsi="黑体" w:eastAsia="黑体" w:cs="黑体"/>
          <w:b w:val="0"/>
          <w:bCs w:val="0"/>
          <w:sz w:val="32"/>
          <w:szCs w:val="32"/>
          <w:lang w:val="en-US" w:eastAsia="zh-CN"/>
        </w:rPr>
        <w:t>附件</w:t>
      </w:r>
    </w:p>
    <w:p w14:paraId="3B659258">
      <w:pPr>
        <w:keepNext w:val="0"/>
        <w:keepLines w:val="0"/>
        <w:pageBreakBefore w:val="0"/>
        <w:numPr>
          <w:ilvl w:val="0"/>
          <w:numId w:val="0"/>
        </w:numPr>
        <w:kinsoku/>
        <w:wordWrap/>
        <w:overflowPunct/>
        <w:topLinePunct w:val="0"/>
        <w:autoSpaceDE/>
        <w:autoSpaceDN/>
        <w:bidi w:val="0"/>
        <w:adjustRightInd/>
        <w:snapToGrid/>
        <w:spacing w:line="580" w:lineRule="exact"/>
        <w:ind w:firstLine="600"/>
        <w:jc w:val="center"/>
        <w:textAlignment w:val="auto"/>
        <w:rPr>
          <w:rFonts w:hint="eastAsia" w:ascii="黑体" w:hAnsi="黑体" w:eastAsia="黑体" w:cs="黑体"/>
          <w:sz w:val="32"/>
          <w:szCs w:val="32"/>
          <w:lang w:val="en-US" w:eastAsia="zh-CN"/>
        </w:rPr>
      </w:pPr>
      <w:r>
        <w:rPr>
          <w:rFonts w:hint="eastAsia" w:ascii="黑体" w:hAnsi="黑体" w:eastAsia="黑体" w:cs="黑体"/>
          <w:b/>
          <w:bCs/>
          <w:sz w:val="32"/>
          <w:szCs w:val="32"/>
          <w:lang w:val="en-US" w:eastAsia="zh-CN"/>
        </w:rPr>
        <w:t>医药机构“正式运营至少3个月”核查标准</w:t>
      </w:r>
    </w:p>
    <w:tbl>
      <w:tblPr>
        <w:tblStyle w:val="3"/>
        <w:tblW w:w="14067" w:type="dxa"/>
        <w:jc w:val="center"/>
        <w:tblLayout w:type="fixed"/>
        <w:tblCellMar>
          <w:top w:w="0" w:type="dxa"/>
          <w:left w:w="0" w:type="dxa"/>
          <w:bottom w:w="0" w:type="dxa"/>
          <w:right w:w="0" w:type="dxa"/>
        </w:tblCellMar>
      </w:tblPr>
      <w:tblGrid>
        <w:gridCol w:w="1122"/>
        <w:gridCol w:w="1485"/>
        <w:gridCol w:w="1232"/>
        <w:gridCol w:w="2415"/>
        <w:gridCol w:w="7813"/>
      </w:tblGrid>
      <w:tr w14:paraId="34F48841">
        <w:tblPrEx>
          <w:tblCellMar>
            <w:top w:w="0" w:type="dxa"/>
            <w:left w:w="0" w:type="dxa"/>
            <w:bottom w:w="0" w:type="dxa"/>
            <w:right w:w="0" w:type="dxa"/>
          </w:tblCellMar>
        </w:tblPrEx>
        <w:trPr>
          <w:trHeight w:val="520" w:hRule="atLeast"/>
          <w:jc w:val="center"/>
        </w:trPr>
        <w:tc>
          <w:tcPr>
            <w:tcW w:w="112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0C622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2"/>
                <w:szCs w:val="22"/>
                <w:u w:val="none"/>
                <w:lang w:eastAsia="zh-CN"/>
              </w:rPr>
            </w:pPr>
            <w:r>
              <w:rPr>
                <w:rFonts w:hint="eastAsia" w:ascii="宋体" w:hAnsi="宋体" w:eastAsia="宋体" w:cs="宋体"/>
                <w:b/>
                <w:i w:val="0"/>
                <w:color w:val="000000"/>
                <w:sz w:val="22"/>
                <w:szCs w:val="22"/>
                <w:u w:val="none"/>
                <w:lang w:eastAsia="zh-CN"/>
              </w:rPr>
              <w:t>机构类型</w:t>
            </w:r>
          </w:p>
        </w:tc>
        <w:tc>
          <w:tcPr>
            <w:tcW w:w="271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AD64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核查项目</w:t>
            </w:r>
          </w:p>
        </w:tc>
        <w:tc>
          <w:tcPr>
            <w:tcW w:w="1022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52E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核查标准</w:t>
            </w:r>
          </w:p>
        </w:tc>
      </w:tr>
      <w:tr w14:paraId="0B7FE216">
        <w:tblPrEx>
          <w:tblCellMar>
            <w:top w:w="0" w:type="dxa"/>
            <w:left w:w="0" w:type="dxa"/>
            <w:bottom w:w="0" w:type="dxa"/>
            <w:right w:w="0" w:type="dxa"/>
          </w:tblCellMar>
        </w:tblPrEx>
        <w:trPr>
          <w:trHeight w:val="510" w:hRule="atLeast"/>
          <w:jc w:val="center"/>
        </w:trPr>
        <w:tc>
          <w:tcPr>
            <w:tcW w:w="1122"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4E9A5C99">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lang w:eastAsia="zh-CN"/>
              </w:rPr>
            </w:pPr>
            <w:r>
              <w:rPr>
                <w:rFonts w:hint="eastAsia" w:ascii="宋体" w:hAnsi="宋体" w:eastAsia="宋体" w:cs="宋体"/>
                <w:b/>
                <w:i w:val="0"/>
                <w:color w:val="000000"/>
                <w:sz w:val="20"/>
                <w:szCs w:val="20"/>
                <w:u w:val="none"/>
                <w:lang w:eastAsia="zh-CN"/>
              </w:rPr>
              <w:t>医疗机构</w:t>
            </w:r>
          </w:p>
        </w:tc>
        <w:tc>
          <w:tcPr>
            <w:tcW w:w="1485" w:type="dxa"/>
            <w:vMerge w:val="restart"/>
            <w:tcBorders>
              <w:top w:val="single" w:color="000000" w:sz="4" w:space="0"/>
              <w:left w:val="single" w:color="000000" w:sz="4" w:space="0"/>
              <w:right w:val="single" w:color="auto" w:sz="4" w:space="0"/>
            </w:tcBorders>
            <w:noWrap/>
            <w:tcMar>
              <w:top w:w="15" w:type="dxa"/>
              <w:left w:w="15" w:type="dxa"/>
              <w:right w:w="15" w:type="dxa"/>
            </w:tcMar>
            <w:vAlign w:val="center"/>
          </w:tcPr>
          <w:p w14:paraId="7AD0CA10">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正式运营至少</w:t>
            </w:r>
            <w:r>
              <w:rPr>
                <w:rFonts w:hint="eastAsia" w:ascii="宋体" w:hAnsi="宋体" w:eastAsia="宋体" w:cs="宋体"/>
                <w:i w:val="0"/>
                <w:color w:val="000000"/>
                <w:sz w:val="20"/>
                <w:szCs w:val="20"/>
                <w:u w:val="none"/>
                <w:lang w:val="en-US" w:eastAsia="zh-CN"/>
              </w:rPr>
              <w:t>3个月</w:t>
            </w:r>
            <w:r>
              <w:rPr>
                <w:rFonts w:hint="eastAsia" w:ascii="宋体" w:hAnsi="宋体" w:eastAsia="宋体" w:cs="宋体"/>
                <w:i w:val="0"/>
                <w:color w:val="000000"/>
                <w:sz w:val="20"/>
                <w:szCs w:val="20"/>
                <w:u w:val="none"/>
                <w:lang w:eastAsia="zh-CN"/>
              </w:rPr>
              <w:t>（</w:t>
            </w:r>
            <w:r>
              <w:rPr>
                <w:rFonts w:hint="eastAsia" w:ascii="宋体" w:hAnsi="宋体" w:eastAsia="宋体" w:cs="宋体"/>
                <w:i w:val="0"/>
                <w:color w:val="000000"/>
                <w:kern w:val="0"/>
                <w:sz w:val="20"/>
                <w:szCs w:val="20"/>
                <w:u w:val="none"/>
                <w:lang w:val="en-US" w:eastAsia="zh-CN" w:bidi="ar"/>
              </w:rPr>
              <w:t>涉及搬迁的医疗机构必须在现址正式运营至少3个月</w:t>
            </w:r>
            <w:r>
              <w:rPr>
                <w:rFonts w:hint="eastAsia" w:ascii="宋体" w:hAnsi="宋体" w:eastAsia="宋体" w:cs="宋体"/>
                <w:i w:val="0"/>
                <w:color w:val="000000"/>
                <w:sz w:val="20"/>
                <w:szCs w:val="20"/>
                <w:u w:val="none"/>
                <w:lang w:eastAsia="zh-CN"/>
              </w:rPr>
              <w:t>）</w:t>
            </w:r>
          </w:p>
          <w:p w14:paraId="607DFA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51D7B3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证照核查</w:t>
            </w:r>
          </w:p>
        </w:tc>
        <w:tc>
          <w:tcPr>
            <w:tcW w:w="10228" w:type="dxa"/>
            <w:gridSpan w:val="2"/>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26BA233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核查《营业执照》或《事业法人登记证书》或《民办非企业单位登记证书》《医疗机构执业许可证》或《中医诊所备案证》或《诊所备案证》的发证日期与申请日期的间隔不少于3个月</w:t>
            </w:r>
          </w:p>
        </w:tc>
      </w:tr>
      <w:tr w14:paraId="7BCFA402">
        <w:tblPrEx>
          <w:tblCellMar>
            <w:top w:w="0" w:type="dxa"/>
            <w:left w:w="0" w:type="dxa"/>
            <w:bottom w:w="0" w:type="dxa"/>
            <w:right w:w="0" w:type="dxa"/>
          </w:tblCellMar>
        </w:tblPrEx>
        <w:trPr>
          <w:trHeight w:val="445" w:hRule="atLeast"/>
          <w:jc w:val="center"/>
        </w:trPr>
        <w:tc>
          <w:tcPr>
            <w:tcW w:w="112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F2A8C">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rPr>
            </w:pPr>
          </w:p>
        </w:tc>
        <w:tc>
          <w:tcPr>
            <w:tcW w:w="1485" w:type="dxa"/>
            <w:vMerge w:val="continue"/>
            <w:tcBorders>
              <w:left w:val="single" w:color="000000" w:sz="4" w:space="0"/>
              <w:right w:val="single" w:color="auto" w:sz="4" w:space="0"/>
            </w:tcBorders>
            <w:noWrap/>
            <w:tcMar>
              <w:top w:w="15" w:type="dxa"/>
              <w:left w:w="15" w:type="dxa"/>
              <w:right w:w="15" w:type="dxa"/>
            </w:tcMar>
            <w:vAlign w:val="center"/>
          </w:tcPr>
          <w:p w14:paraId="0DF5CE4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rPr>
            </w:pPr>
          </w:p>
        </w:tc>
        <w:tc>
          <w:tcPr>
            <w:tcW w:w="1232" w:type="dxa"/>
            <w:vMerge w:val="restart"/>
            <w:tcBorders>
              <w:top w:val="single" w:color="auto" w:sz="4" w:space="0"/>
              <w:left w:val="single" w:color="auto" w:sz="4" w:space="0"/>
              <w:right w:val="single" w:color="auto" w:sz="4" w:space="0"/>
            </w:tcBorders>
            <w:noWrap/>
            <w:tcMar>
              <w:top w:w="15" w:type="dxa"/>
              <w:left w:w="15" w:type="dxa"/>
              <w:right w:w="15" w:type="dxa"/>
            </w:tcMar>
            <w:vAlign w:val="center"/>
          </w:tcPr>
          <w:p w14:paraId="2026A704">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发票核查</w:t>
            </w:r>
          </w:p>
        </w:tc>
        <w:tc>
          <w:tcPr>
            <w:tcW w:w="2415"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DDF9C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2"/>
                <w:sz w:val="20"/>
                <w:szCs w:val="20"/>
                <w:u w:val="none"/>
                <w:lang w:val="en-US" w:eastAsia="zh-CN" w:bidi="ar-SA"/>
              </w:rPr>
              <w:t>除护理院外的医疗机构</w:t>
            </w:r>
          </w:p>
        </w:tc>
        <w:tc>
          <w:tcPr>
            <w:tcW w:w="7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D305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核查医药机构营业以来的发票：其中首张发票日期与申请日期的间隔不少于3个月</w:t>
            </w:r>
          </w:p>
        </w:tc>
      </w:tr>
      <w:tr w14:paraId="5CD79806">
        <w:tblPrEx>
          <w:tblCellMar>
            <w:top w:w="0" w:type="dxa"/>
            <w:left w:w="0" w:type="dxa"/>
            <w:bottom w:w="0" w:type="dxa"/>
            <w:right w:w="0" w:type="dxa"/>
          </w:tblCellMar>
        </w:tblPrEx>
        <w:trPr>
          <w:trHeight w:val="500" w:hRule="atLeast"/>
          <w:jc w:val="center"/>
        </w:trPr>
        <w:tc>
          <w:tcPr>
            <w:tcW w:w="112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B9ACA8">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rPr>
            </w:pPr>
          </w:p>
        </w:tc>
        <w:tc>
          <w:tcPr>
            <w:tcW w:w="1485" w:type="dxa"/>
            <w:vMerge w:val="continue"/>
            <w:tcBorders>
              <w:left w:val="single" w:color="000000" w:sz="4" w:space="0"/>
              <w:right w:val="single" w:color="auto" w:sz="4" w:space="0"/>
            </w:tcBorders>
            <w:noWrap/>
            <w:tcMar>
              <w:top w:w="15" w:type="dxa"/>
              <w:left w:w="15" w:type="dxa"/>
              <w:right w:w="15" w:type="dxa"/>
            </w:tcMar>
            <w:vAlign w:val="center"/>
          </w:tcPr>
          <w:p w14:paraId="6DB5DB83">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rPr>
            </w:pPr>
          </w:p>
        </w:tc>
        <w:tc>
          <w:tcPr>
            <w:tcW w:w="1232" w:type="dxa"/>
            <w:vMerge w:val="continue"/>
            <w:tcBorders>
              <w:left w:val="single" w:color="auto" w:sz="4" w:space="0"/>
              <w:bottom w:val="single" w:color="auto" w:sz="4" w:space="0"/>
              <w:right w:val="single" w:color="auto" w:sz="4" w:space="0"/>
            </w:tcBorders>
            <w:noWrap/>
            <w:tcMar>
              <w:top w:w="15" w:type="dxa"/>
              <w:left w:w="15" w:type="dxa"/>
              <w:right w:w="15" w:type="dxa"/>
            </w:tcMar>
            <w:vAlign w:val="center"/>
          </w:tcPr>
          <w:p w14:paraId="6E486F8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rPr>
            </w:pPr>
          </w:p>
        </w:tc>
        <w:tc>
          <w:tcPr>
            <w:tcW w:w="2415"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8199E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护理院</w:t>
            </w:r>
          </w:p>
        </w:tc>
        <w:tc>
          <w:tcPr>
            <w:tcW w:w="7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17C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核查首位病人入院记录：自营业以来首位病人的入院日期与申请日期的间隔不少于3个月</w:t>
            </w:r>
          </w:p>
        </w:tc>
      </w:tr>
      <w:tr w14:paraId="259292B6">
        <w:tblPrEx>
          <w:tblCellMar>
            <w:top w:w="0" w:type="dxa"/>
            <w:left w:w="0" w:type="dxa"/>
            <w:bottom w:w="0" w:type="dxa"/>
            <w:right w:w="0" w:type="dxa"/>
          </w:tblCellMar>
        </w:tblPrEx>
        <w:trPr>
          <w:trHeight w:val="955" w:hRule="atLeast"/>
          <w:jc w:val="center"/>
        </w:trPr>
        <w:tc>
          <w:tcPr>
            <w:tcW w:w="112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1254C">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rPr>
            </w:pPr>
          </w:p>
        </w:tc>
        <w:tc>
          <w:tcPr>
            <w:tcW w:w="1485" w:type="dxa"/>
            <w:vMerge w:val="continue"/>
            <w:tcBorders>
              <w:left w:val="single" w:color="000000" w:sz="4" w:space="0"/>
              <w:right w:val="single" w:color="000000" w:sz="4" w:space="0"/>
            </w:tcBorders>
            <w:noWrap/>
            <w:tcMar>
              <w:top w:w="15" w:type="dxa"/>
              <w:left w:w="15" w:type="dxa"/>
              <w:right w:w="15" w:type="dxa"/>
            </w:tcMar>
            <w:vAlign w:val="center"/>
          </w:tcPr>
          <w:p w14:paraId="161678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vMerge w:val="restart"/>
            <w:tcBorders>
              <w:top w:val="single" w:color="auto" w:sz="4" w:space="0"/>
              <w:left w:val="single" w:color="000000" w:sz="4" w:space="0"/>
              <w:right w:val="single" w:color="000000" w:sz="4" w:space="0"/>
            </w:tcBorders>
            <w:noWrap/>
            <w:tcMar>
              <w:top w:w="15" w:type="dxa"/>
              <w:left w:w="15" w:type="dxa"/>
              <w:right w:w="15" w:type="dxa"/>
            </w:tcMar>
            <w:vAlign w:val="center"/>
          </w:tcPr>
          <w:p w14:paraId="45BE7D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人员核查</w:t>
            </w:r>
          </w:p>
        </w:tc>
        <w:tc>
          <w:tcPr>
            <w:tcW w:w="24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19A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注册在本单位的时间</w:t>
            </w:r>
          </w:p>
        </w:tc>
        <w:tc>
          <w:tcPr>
            <w:tcW w:w="7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4A04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核查各类人员资质复印件和相关医师的诊疗记录，需同时满足：</w:t>
            </w:r>
          </w:p>
          <w:p w14:paraId="4843DEE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1.首位执业医师注册在本单位的日期距申请日期的间隔不少于3个月；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2.执业医师累计注册在本单位的时间不少于3个月</w:t>
            </w:r>
          </w:p>
        </w:tc>
      </w:tr>
      <w:tr w14:paraId="49D1CCEB">
        <w:tblPrEx>
          <w:tblCellMar>
            <w:top w:w="0" w:type="dxa"/>
            <w:left w:w="0" w:type="dxa"/>
            <w:bottom w:w="0" w:type="dxa"/>
            <w:right w:w="0" w:type="dxa"/>
          </w:tblCellMar>
        </w:tblPrEx>
        <w:trPr>
          <w:trHeight w:val="780" w:hRule="atLeast"/>
          <w:jc w:val="center"/>
        </w:trPr>
        <w:tc>
          <w:tcPr>
            <w:tcW w:w="112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8C79F">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rPr>
            </w:pPr>
          </w:p>
        </w:tc>
        <w:tc>
          <w:tcPr>
            <w:tcW w:w="1485"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E6C1F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4A091F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24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894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参加社会保险情况</w:t>
            </w:r>
          </w:p>
        </w:tc>
        <w:tc>
          <w:tcPr>
            <w:tcW w:w="7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063A8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核查人员花名册及其参保缴费证明材料，需满足：医师、护士、医技人员、护理员、药学人员、药师等必备人员必须参保在本单位，其中多点执业医师在任一执业地点参保缴费均可</w:t>
            </w:r>
          </w:p>
        </w:tc>
      </w:tr>
      <w:tr w14:paraId="79863687">
        <w:tblPrEx>
          <w:tblCellMar>
            <w:top w:w="0" w:type="dxa"/>
            <w:left w:w="0" w:type="dxa"/>
            <w:bottom w:w="0" w:type="dxa"/>
            <w:right w:w="0" w:type="dxa"/>
          </w:tblCellMar>
        </w:tblPrEx>
        <w:trPr>
          <w:trHeight w:val="504" w:hRule="atLeast"/>
          <w:jc w:val="center"/>
        </w:trPr>
        <w:tc>
          <w:tcPr>
            <w:tcW w:w="112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3E20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零售药店</w:t>
            </w:r>
          </w:p>
        </w:tc>
        <w:tc>
          <w:tcPr>
            <w:tcW w:w="1485"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001DA440">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正式运营至少</w:t>
            </w:r>
            <w:r>
              <w:rPr>
                <w:rFonts w:hint="eastAsia" w:ascii="宋体" w:hAnsi="宋体" w:eastAsia="宋体" w:cs="宋体"/>
                <w:i w:val="0"/>
                <w:color w:val="000000"/>
                <w:sz w:val="20"/>
                <w:szCs w:val="20"/>
                <w:u w:val="none"/>
                <w:lang w:val="en-US" w:eastAsia="zh-CN"/>
              </w:rPr>
              <w:t>3个月（涉及搬迁的零售药店</w:t>
            </w:r>
            <w:r>
              <w:rPr>
                <w:rFonts w:hint="eastAsia" w:ascii="宋体" w:hAnsi="宋体" w:eastAsia="宋体" w:cs="宋体"/>
                <w:i w:val="0"/>
                <w:color w:val="000000"/>
                <w:kern w:val="0"/>
                <w:sz w:val="20"/>
                <w:szCs w:val="20"/>
                <w:u w:val="none"/>
                <w:lang w:val="en-US" w:eastAsia="zh-CN" w:bidi="ar"/>
              </w:rPr>
              <w:t>，必须在现址正式运营至少3个月</w:t>
            </w:r>
            <w:r>
              <w:rPr>
                <w:rFonts w:hint="eastAsia" w:ascii="宋体" w:hAnsi="宋体" w:eastAsia="宋体" w:cs="宋体"/>
                <w:i w:val="0"/>
                <w:color w:val="000000"/>
                <w:sz w:val="20"/>
                <w:szCs w:val="20"/>
                <w:u w:val="none"/>
                <w:lang w:eastAsia="zh-CN"/>
              </w:rPr>
              <w:t>）</w:t>
            </w:r>
          </w:p>
          <w:p w14:paraId="047C58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F778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eastAsia="zh-CN"/>
              </w:rPr>
              <w:t>证照核查</w:t>
            </w:r>
          </w:p>
        </w:tc>
        <w:tc>
          <w:tcPr>
            <w:tcW w:w="1022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BC254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《营业执照》《药品经营许可证》的发证日期与申请日期的间隔不少于3个月</w:t>
            </w:r>
          </w:p>
        </w:tc>
      </w:tr>
      <w:tr w14:paraId="065A421D">
        <w:tblPrEx>
          <w:tblCellMar>
            <w:top w:w="0" w:type="dxa"/>
            <w:left w:w="0" w:type="dxa"/>
            <w:bottom w:w="0" w:type="dxa"/>
            <w:right w:w="0" w:type="dxa"/>
          </w:tblCellMar>
        </w:tblPrEx>
        <w:trPr>
          <w:trHeight w:val="510" w:hRule="atLeast"/>
          <w:jc w:val="center"/>
        </w:trPr>
        <w:tc>
          <w:tcPr>
            <w:tcW w:w="1122" w:type="dxa"/>
            <w:vMerge w:val="continue"/>
            <w:tcBorders>
              <w:left w:val="single" w:color="000000" w:sz="4" w:space="0"/>
              <w:right w:val="single" w:color="000000" w:sz="4" w:space="0"/>
            </w:tcBorders>
            <w:noWrap/>
            <w:tcMar>
              <w:top w:w="15" w:type="dxa"/>
              <w:left w:w="15" w:type="dxa"/>
              <w:right w:w="15" w:type="dxa"/>
            </w:tcMar>
            <w:vAlign w:val="center"/>
          </w:tcPr>
          <w:p w14:paraId="3130412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i w:val="0"/>
                <w:color w:val="000000"/>
                <w:kern w:val="0"/>
                <w:sz w:val="20"/>
                <w:szCs w:val="20"/>
                <w:u w:val="none"/>
                <w:lang w:val="en-US" w:eastAsia="zh-CN" w:bidi="ar"/>
              </w:rPr>
            </w:pPr>
          </w:p>
        </w:tc>
        <w:tc>
          <w:tcPr>
            <w:tcW w:w="1485" w:type="dxa"/>
            <w:vMerge w:val="continue"/>
            <w:tcBorders>
              <w:left w:val="single" w:color="000000" w:sz="4" w:space="0"/>
              <w:right w:val="single" w:color="000000" w:sz="4" w:space="0"/>
            </w:tcBorders>
            <w:noWrap/>
            <w:tcMar>
              <w:top w:w="15" w:type="dxa"/>
              <w:left w:w="15" w:type="dxa"/>
              <w:right w:w="15" w:type="dxa"/>
            </w:tcMar>
            <w:vAlign w:val="center"/>
          </w:tcPr>
          <w:p w14:paraId="696EB1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590D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发票核查</w:t>
            </w:r>
          </w:p>
        </w:tc>
        <w:tc>
          <w:tcPr>
            <w:tcW w:w="1022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8B9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查看营业以来的发票：其中首张发票日期与申请日期的间隔不少于3个月</w:t>
            </w:r>
          </w:p>
        </w:tc>
      </w:tr>
      <w:tr w14:paraId="0CE297CF">
        <w:tblPrEx>
          <w:tblCellMar>
            <w:top w:w="0" w:type="dxa"/>
            <w:left w:w="0" w:type="dxa"/>
            <w:bottom w:w="0" w:type="dxa"/>
            <w:right w:w="0" w:type="dxa"/>
          </w:tblCellMar>
        </w:tblPrEx>
        <w:trPr>
          <w:trHeight w:val="995" w:hRule="atLeast"/>
          <w:jc w:val="center"/>
        </w:trPr>
        <w:tc>
          <w:tcPr>
            <w:tcW w:w="112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963AE">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rPr>
            </w:pPr>
          </w:p>
        </w:tc>
        <w:tc>
          <w:tcPr>
            <w:tcW w:w="1485" w:type="dxa"/>
            <w:vMerge w:val="continue"/>
            <w:tcBorders>
              <w:left w:val="single" w:color="000000" w:sz="4" w:space="0"/>
              <w:right w:val="single" w:color="000000" w:sz="4" w:space="0"/>
            </w:tcBorders>
            <w:noWrap/>
            <w:tcMar>
              <w:top w:w="15" w:type="dxa"/>
              <w:left w:w="15" w:type="dxa"/>
              <w:right w:w="15" w:type="dxa"/>
            </w:tcMar>
            <w:vAlign w:val="center"/>
          </w:tcPr>
          <w:p w14:paraId="11AADA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54008F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人员核查</w:t>
            </w:r>
          </w:p>
        </w:tc>
        <w:tc>
          <w:tcPr>
            <w:tcW w:w="24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EA4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注册在本单位的时间</w:t>
            </w:r>
          </w:p>
        </w:tc>
        <w:tc>
          <w:tcPr>
            <w:tcW w:w="7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8F088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核查各类人员资质复印件和相关药师的售药记录，需同时满足：</w:t>
            </w:r>
          </w:p>
          <w:p w14:paraId="6C44906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1.首位执业药师注册在本单位的日期距中请日期的间隔不少于3个月；</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2.执业药师累计注册在本单位的时间不少于3个月</w:t>
            </w:r>
          </w:p>
        </w:tc>
      </w:tr>
      <w:tr w14:paraId="55977D5E">
        <w:tblPrEx>
          <w:tblCellMar>
            <w:top w:w="0" w:type="dxa"/>
            <w:left w:w="0" w:type="dxa"/>
            <w:bottom w:w="0" w:type="dxa"/>
            <w:right w:w="0" w:type="dxa"/>
          </w:tblCellMar>
        </w:tblPrEx>
        <w:trPr>
          <w:trHeight w:val="470" w:hRule="atLeast"/>
          <w:jc w:val="center"/>
        </w:trPr>
        <w:tc>
          <w:tcPr>
            <w:tcW w:w="112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885E5">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b/>
                <w:i w:val="0"/>
                <w:color w:val="000000"/>
                <w:sz w:val="20"/>
                <w:szCs w:val="20"/>
                <w:u w:val="none"/>
              </w:rPr>
            </w:pPr>
          </w:p>
        </w:tc>
        <w:tc>
          <w:tcPr>
            <w:tcW w:w="1485"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B1D71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p>
        </w:tc>
        <w:tc>
          <w:tcPr>
            <w:tcW w:w="1232"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7F468E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kern w:val="2"/>
                <w:sz w:val="20"/>
                <w:szCs w:val="20"/>
                <w:u w:val="none"/>
                <w:lang w:val="en-US" w:eastAsia="zh-CN" w:bidi="ar-SA"/>
              </w:rPr>
            </w:pPr>
          </w:p>
        </w:tc>
        <w:tc>
          <w:tcPr>
            <w:tcW w:w="24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FF2D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参加社会保险情况</w:t>
            </w:r>
          </w:p>
        </w:tc>
        <w:tc>
          <w:tcPr>
            <w:tcW w:w="78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703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核查人员花名册及其参保凭证，需满足:药师、药学人员等必备人员必须参保在本单位</w:t>
            </w:r>
          </w:p>
        </w:tc>
      </w:tr>
      <w:bookmarkEnd w:id="0"/>
    </w:tbl>
    <w:p w14:paraId="6954527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097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9538B4">
                          <w:pPr>
                            <w:pStyle w:val="2"/>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89538B4">
                    <w:pPr>
                      <w:pStyle w:val="2"/>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71C43A"/>
    <w:multiLevelType w:val="singleLevel"/>
    <w:tmpl w:val="B571C43A"/>
    <w:lvl w:ilvl="0" w:tentative="0">
      <w:start w:val="1"/>
      <w:numFmt w:val="chineseCounting"/>
      <w:suff w:val="nothing"/>
      <w:lvlText w:val="%1、"/>
      <w:lvlJc w:val="left"/>
      <w:pPr>
        <w:ind w:left="30"/>
      </w:pPr>
      <w:rPr>
        <w:rFonts w:hint="eastAsia"/>
      </w:rPr>
    </w:lvl>
  </w:abstractNum>
  <w:abstractNum w:abstractNumId="1">
    <w:nsid w:val="CBE8348C"/>
    <w:multiLevelType w:val="singleLevel"/>
    <w:tmpl w:val="CBE8348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7220D4"/>
    <w:rsid w:val="1C166281"/>
    <w:rsid w:val="335E5F02"/>
    <w:rsid w:val="714265D4"/>
    <w:rsid w:val="77324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2269</Words>
  <Characters>2293</Characters>
  <Lines>0</Lines>
  <Paragraphs>0</Paragraphs>
  <TotalTime>10</TotalTime>
  <ScaleCrop>false</ScaleCrop>
  <LinksUpToDate>false</LinksUpToDate>
  <CharactersWithSpaces>2325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2025-10-11T02:37:00Z</dcterms:created>
  <dc:creator>Administrator</dc:creator>
  <cp:lastModifiedBy>Hely</cp:lastModifiedBy>
  <dcterms:modified xsi:type="dcterms:W3CDTF">2026-06-09T09:22:10Z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D16386D96C8A40E7A22A3A56221BA839</vt:lpwstr>
  </property>
  <property fmtid="{D5CDD505-2E9C-101B-9397-08002B2CF9AE}" pid="4" name="KSOTemplateDocerSaveRecord">
    <vt:lpwstr>eyJoZGlkIjoiYTYyMWFlZmM0NDM1ZWQzNjVjNDhmNmYzZmNmOTc0MTMiLCJ1c2VySWQiOiI3ODkyMjc4ODgifQ==</vt:lpwstr>
  </property>
</Properties>
</file>