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8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61" w:afterLines="50" w:line="588" w:lineRule="exact"/>
        <w:ind w:firstLine="883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auto"/>
          <w:kern w:val="2"/>
          <w:sz w:val="44"/>
          <w:szCs w:val="44"/>
          <w:lang w:val="en-US" w:eastAsia="zh-CN" w:bidi="ar-SA"/>
        </w:rPr>
        <w:t>复杂型项目触发机制指标体系和区间</w:t>
      </w:r>
      <w:bookmarkEnd w:id="0"/>
    </w:p>
    <w:p>
      <w:pPr>
        <w:spacing w:line="300" w:lineRule="exact"/>
        <w:ind w:firstLine="420" w:firstLineChars="200"/>
        <w:rPr>
          <w:rFonts w:hint="default"/>
          <w:color w:val="auto"/>
        </w:rPr>
      </w:pPr>
      <w:r>
        <w:rPr>
          <w:rFonts w:hint="eastAsia" w:ascii="Times New Roman" w:hAnsi="Times New Roman" w:eastAsia="仿宋_GB2312" w:cs="Times New Roman"/>
          <w:color w:val="auto"/>
          <w:szCs w:val="21"/>
        </w:rPr>
        <w:t>复杂型项目触发机制共有</w:t>
      </w:r>
      <w:r>
        <w:rPr>
          <w:rFonts w:hint="eastAsia" w:ascii="Times New Roman" w:hAnsi="Times New Roman" w:eastAsia="仿宋_GB2312" w:cs="Times New Roman"/>
          <w:color w:val="auto"/>
          <w:szCs w:val="21"/>
          <w:lang w:val="en-US" w:eastAsia="zh-CN"/>
        </w:rPr>
        <w:t>40</w:t>
      </w:r>
      <w:r>
        <w:rPr>
          <w:rFonts w:hint="eastAsia" w:ascii="Times New Roman" w:hAnsi="Times New Roman" w:eastAsia="仿宋_GB2312" w:cs="Times New Roman"/>
          <w:color w:val="auto"/>
          <w:szCs w:val="21"/>
        </w:rPr>
        <w:t>项指标（熔断指标</w:t>
      </w:r>
      <w:r>
        <w:rPr>
          <w:rFonts w:hint="eastAsia" w:ascii="Times New Roman" w:hAnsi="Times New Roman" w:eastAsia="仿宋_GB2312" w:cs="Times New Roman"/>
          <w:color w:val="auto"/>
          <w:szCs w:val="21"/>
          <w:lang w:val="en-US" w:eastAsia="zh-CN"/>
        </w:rPr>
        <w:t>8</w:t>
      </w:r>
      <w:r>
        <w:rPr>
          <w:rFonts w:hint="eastAsia" w:ascii="Times New Roman" w:hAnsi="Times New Roman" w:eastAsia="仿宋_GB2312" w:cs="Times New Roman"/>
          <w:color w:val="auto"/>
          <w:szCs w:val="21"/>
        </w:rPr>
        <w:t>项），实行百分制，其中，</w:t>
      </w:r>
      <w:r>
        <w:rPr>
          <w:rFonts w:hint="eastAsia" w:ascii="Times New Roman" w:hAnsi="Times New Roman" w:eastAsia="仿宋_GB2312" w:cs="Times New Roman"/>
          <w:color w:val="auto"/>
          <w:szCs w:val="21"/>
          <w:lang w:val="en-US" w:eastAsia="zh-CN"/>
        </w:rPr>
        <w:t>患者费用变化</w:t>
      </w:r>
      <w:r>
        <w:rPr>
          <w:rFonts w:hint="eastAsia" w:ascii="Times New Roman" w:hAnsi="Times New Roman" w:eastAsia="仿宋_GB2312" w:cs="Times New Roman"/>
          <w:color w:val="auto"/>
          <w:szCs w:val="21"/>
        </w:rPr>
        <w:t>15分（</w:t>
      </w:r>
      <w:r>
        <w:rPr>
          <w:rFonts w:hint="eastAsia" w:ascii="Times New Roman" w:hAnsi="Times New Roman" w:eastAsia="仿宋_GB2312" w:cs="Times New Roman"/>
          <w:color w:val="auto"/>
          <w:szCs w:val="21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color w:val="auto"/>
          <w:szCs w:val="21"/>
        </w:rPr>
        <w:t>项指标），经济社会及卫生事业发展水平15分（1</w:t>
      </w:r>
      <w:r>
        <w:rPr>
          <w:rFonts w:hint="eastAsia" w:ascii="Times New Roman" w:hAnsi="Times New Roman" w:eastAsia="仿宋_GB2312" w:cs="Times New Roman"/>
          <w:color w:val="auto"/>
          <w:szCs w:val="21"/>
          <w:lang w:val="en-US" w:eastAsia="zh-CN"/>
        </w:rPr>
        <w:t>0</w:t>
      </w:r>
      <w:r>
        <w:rPr>
          <w:rFonts w:hint="eastAsia" w:ascii="Times New Roman" w:hAnsi="Times New Roman" w:eastAsia="仿宋_GB2312" w:cs="Times New Roman"/>
          <w:color w:val="auto"/>
          <w:szCs w:val="21"/>
        </w:rPr>
        <w:t>项指标），医院运行情况35分（</w:t>
      </w:r>
      <w:r>
        <w:rPr>
          <w:rFonts w:hint="eastAsia" w:ascii="Times New Roman" w:hAnsi="Times New Roman" w:eastAsia="仿宋_GB2312" w:cs="Times New Roman"/>
          <w:color w:val="auto"/>
          <w:szCs w:val="21"/>
          <w:lang w:val="en-US" w:eastAsia="zh-CN"/>
        </w:rPr>
        <w:t>15</w:t>
      </w:r>
      <w:r>
        <w:rPr>
          <w:rFonts w:hint="eastAsia" w:ascii="Times New Roman" w:hAnsi="Times New Roman" w:eastAsia="仿宋_GB2312" w:cs="Times New Roman"/>
          <w:color w:val="auto"/>
          <w:szCs w:val="21"/>
        </w:rPr>
        <w:t>项指标），医保和患者承受能力35分（</w:t>
      </w:r>
      <w:r>
        <w:rPr>
          <w:rFonts w:hint="eastAsia" w:ascii="Times New Roman" w:hAnsi="Times New Roman" w:eastAsia="仿宋_GB2312" w:cs="Times New Roman"/>
          <w:color w:val="auto"/>
          <w:szCs w:val="21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color w:val="auto"/>
          <w:szCs w:val="21"/>
        </w:rPr>
        <w:t>项指标）。</w:t>
      </w:r>
    </w:p>
    <w:tbl>
      <w:tblPr>
        <w:tblStyle w:val="4"/>
        <w:tblW w:w="1434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2127"/>
        <w:gridCol w:w="990"/>
        <w:gridCol w:w="4416"/>
        <w:gridCol w:w="1531"/>
        <w:gridCol w:w="1536"/>
        <w:gridCol w:w="1531"/>
        <w:gridCol w:w="11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AEACE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一级指标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ACE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二级指标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ACE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outlineLvl w:val="9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ACE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三级指标</w:t>
            </w:r>
          </w:p>
        </w:tc>
        <w:tc>
          <w:tcPr>
            <w:tcW w:w="15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ACE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启动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区间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ACE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中性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区间</w:t>
            </w:r>
          </w:p>
        </w:tc>
        <w:tc>
          <w:tcPr>
            <w:tcW w:w="15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ACE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约束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区间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ACE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1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1.患者费用变化</w:t>
            </w:r>
          </w:p>
          <w:p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15分</w:t>
            </w:r>
          </w:p>
          <w:p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1.1医药费用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9分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1.1.1医疗费用增长率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5分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10%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5分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10%-15%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2.5分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＞15%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▲/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1.1.2门诊病人次均医药费用增长率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2分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8%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 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-2分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1.1.3住院病人人均医药费用增长率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2分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8%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-2分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1.2 检查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化验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费用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1.2.1检查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化验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费用增长率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2分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8%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8%-12%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＞12%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-1分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1.3药品费用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2分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1.3.1药品费用增长率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2分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5%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5%-10%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＞10%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-1分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1.4卫生材料费用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99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1.4.1卫生材料费用增长率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2分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5%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5%-10%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＞10%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-1分</w:t>
            </w:r>
          </w:p>
        </w:tc>
        <w:tc>
          <w:tcPr>
            <w:tcW w:w="111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1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w w:val="9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w w:val="90"/>
                <w:sz w:val="18"/>
                <w:szCs w:val="18"/>
              </w:rPr>
              <w:t>经济社会及卫生事业发展水平</w:t>
            </w:r>
          </w:p>
          <w:p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w w:val="9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w w:val="90"/>
                <w:kern w:val="0"/>
                <w:sz w:val="18"/>
                <w:szCs w:val="18"/>
                <w:highlight w:val="none"/>
                <w:lang w:val="en-US" w:eastAsia="zh-CN"/>
              </w:rPr>
              <w:t>15分</w:t>
            </w:r>
          </w:p>
          <w:p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2.1经济社会发展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9分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2.1.1 上年度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地区生产总值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增长率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3分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6%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0%-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6%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-3分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2.1.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 xml:space="preserve"> 最近3个月平均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居民消费价格涨幅 3分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＜2.0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2.0-3.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1.5分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＞3.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▲/★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2.1.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居民消费价格涨幅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年度控制目标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2分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＜3.0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3.0-3.5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＞3.5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▲/★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2.1.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 xml:space="preserve"> 老年抚养比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1分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＜20%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20%-30%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＞30%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-1分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2.2卫生事业发展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6分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2.2.1每千人口医疗机构床位数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1分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6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6-8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8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-1分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2.2.2每千人口医师数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——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2.2.3每千人口护师人数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——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2.2.4每千人口药师数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0.4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0.4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——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2.2.5万元以上设备数量增长率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10%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0%-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15%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-1分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2.2.6万元以上设备总值增长率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10%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0%-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15%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-1分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11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3.医院运行情况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35分</w:t>
            </w: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3.1医院收入情况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13分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3.1.1扣除检查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化验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、药品卫生材料的医疗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收入占比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5分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＜40%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5分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40%-60%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＞60%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-5分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3.1.2检查收入占比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2分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＜10%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%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-15%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＞15%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-2分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3.1.3 药品收入占比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2分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＜30%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%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-40%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＞40%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-2分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3.1.4 卫生材料收入占比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2分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＜20%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%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-30%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＞30%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-2分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3.1.5中医服务收入占比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2分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＞1%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——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——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3.2人员薪酬情况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 xml:space="preserve"> 7分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3.2.1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医院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人员经费占比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5分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%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-60%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5分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——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＞60%或＜30%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-5分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41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3.2.2公立医疗机构医务人员薪酬与社平工资比值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2分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2-5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153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——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＜2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-2分</w:t>
            </w:r>
          </w:p>
        </w:tc>
        <w:tc>
          <w:tcPr>
            <w:tcW w:w="1110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1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441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3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3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＞5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-2分</w:t>
            </w:r>
          </w:p>
        </w:tc>
        <w:tc>
          <w:tcPr>
            <w:tcW w:w="111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3.3财务运营情况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 xml:space="preserve"> 7分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3.3.1医疗收支年度结余率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5分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负5%-5%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5分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负5%-负10%和5-10%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＞10%或＜-10%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-5分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3.3.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新增债务占医疗收入比例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2分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＜2.5%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2.5%-5%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＞5%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▲/★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3.4运行效率评价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6分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3.4.1床位使用率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80%-95%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70%-80%，95%-100%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＞100%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或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＜70%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-1分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3.4.2平均住院日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＜6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6-12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＞12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-1分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3.4.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集采药品完成率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2分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100%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——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＜100%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-2分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3.4.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集采耗材完成率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2分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100%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——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＜100%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-2分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3.5医疗质量评价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2分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3.5.1大型设备检查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化验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阳性率比例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0%-60%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-1分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3.5.2点评处方比例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80%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60%-80%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60%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-1分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4.承受能力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35分</w:t>
            </w: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4.1职工医保承受能力</w:t>
            </w: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13分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4.1.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职工医保统筹基金年收入增长率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3分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5%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0-5%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1.5分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＜0%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▲/★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4.1.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职工医保统筹基金当期结余可支付月数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3分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个月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0-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个月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＜0个月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-3分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4.1.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职工医保统筹基金累计结余可支付月数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7分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＞12个月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7分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-12个月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3.5分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3个月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▲/★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4.2居民医保承受能力</w:t>
            </w: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13分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4.2.1居民医保基金年收入增长率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3分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5%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0-5%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＜0%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▲/★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4.2.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居民医保基金当期结余可支付月数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3分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个月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0-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个月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＜0个月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-3分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4.2.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居民医保基金累计结余可支付月数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7分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＞6个月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7分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3-6个月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3.5分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3个月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0分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▲/★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4.3患者承受能力</w:t>
            </w: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9分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4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4.3.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居民人均可支配收入增长率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3分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0-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-3分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4.3.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职工医保政策范围内自付比例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3分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20%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20-30%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-3分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4.3.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居民医保政策范围内自付比例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3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3分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30-40%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2分</w:t>
            </w:r>
          </w:p>
        </w:tc>
        <w:tc>
          <w:tcPr>
            <w:tcW w:w="15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40%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-3分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4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合计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100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33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-65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说明：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84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1.备注栏中加注“▲”的指标，为必选指标，分值一般情况下高于未加注“▲”的指标。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84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2.备注栏中加注“★”的指标，为熔断指标。熔断指标的实际值处于约束区间时，评分为0，发挥熔断作用，所有指标得分归零。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84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3.启动区间、中性区间、约束区间标示为“—”的，不设定具体数值，无相应评分。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84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4.指标中关于公立医院收入、费用的指标，如无特别说明，均指二级和二级以上公立医院。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840" w:leftChars="40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5.医疗机构填报的指标，可以考虑以典型医疗机构的情况代表区域的整体情况，例如“区域内规模排位靠前的若干家综合性公立医疗机构的平均情况”。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840" w:leftChars="40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6.按照评估节点，若部分指标尚未公布上年度最新数据，可以考虑按前一年度数据和平均变化幅度顺推，或者按已发布的月度、季度数据顺推的方式替代。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840" w:firstLineChars="400"/>
        <w:textAlignment w:val="auto"/>
        <w:outlineLvl w:val="9"/>
        <w:rPr>
          <w:rFonts w:hint="eastAsia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7.公式内的指标口径原则上与该指标数据来源的口径一致。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5YTQxYWVlNzMyY2U4OTMxNjBjZTRiODJhMmVjMWQifQ=="/>
  </w:docVars>
  <w:rsids>
    <w:rsidRoot w:val="00000000"/>
    <w:rsid w:val="1F2755CD"/>
    <w:rsid w:val="4582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ind w:firstLine="0" w:firstLineChars="0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2022-07-21T00:59:00Z</dcterms:created>
  <dc:creator>user</dc:creator>
  <cp:lastModifiedBy>WPS_1656899471</cp:lastModifiedBy>
  <dcterms:modified xsi:type="dcterms:W3CDTF">2022-08-02T02:03:47Z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A1FE28DF7DEA4D699754AD11C0B8B35E</vt:lpwstr>
  </property>
</Properties>
</file>