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eastAsia" w:eastAsia="黑体"/>
          <w:snapToGrid w:val="0"/>
          <w:color w:val="auto"/>
          <w:spacing w:val="-4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pacing w:val="-4"/>
          <w:kern w:val="0"/>
          <w:sz w:val="32"/>
          <w:szCs w:val="32"/>
        </w:rPr>
        <w:t>附件2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pacing w:val="-4"/>
          <w:kern w:val="0"/>
          <w:sz w:val="32"/>
          <w:szCs w:val="32"/>
          <w:lang w:eastAsia="zh-CN"/>
        </w:rPr>
        <w:t>：</w:t>
      </w:r>
    </w:p>
    <w:p>
      <w:pPr>
        <w:overflowPunct w:val="0"/>
        <w:adjustRightInd w:val="0"/>
        <w:snapToGrid w:val="0"/>
        <w:spacing w:before="100" w:beforeAutospacing="1" w:after="100" w:afterAutospacing="1" w:line="580" w:lineRule="exact"/>
        <w:jc w:val="center"/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</w:pP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  <w:t>20</w:t>
      </w: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  <w:lang w:val="en-US" w:eastAsia="zh-CN"/>
        </w:rPr>
        <w:t>20</w:t>
      </w:r>
      <w:r>
        <w:rPr>
          <w:rFonts w:hint="eastAsia" w:eastAsia="方正小标宋简体"/>
          <w:snapToGrid w:val="0"/>
          <w:color w:val="auto"/>
          <w:spacing w:val="-4"/>
          <w:kern w:val="0"/>
          <w:sz w:val="44"/>
          <w:szCs w:val="32"/>
        </w:rPr>
        <w:t>年度医药价格收费情况报告表（二）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2585"/>
        <w:gridCol w:w="2038"/>
        <w:gridCol w:w="2030"/>
        <w:gridCol w:w="20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  <w:t>项  目  名  称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  <w:t>2019年</w:t>
            </w: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  <w:t>20</w:t>
            </w: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  <w:t>年</w:t>
            </w:r>
            <w:r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黑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color w:val="auto"/>
                <w:spacing w:val="-4"/>
                <w:kern w:val="0"/>
                <w:szCs w:val="21"/>
                <w:lang w:bidi="ar"/>
              </w:rPr>
              <w:t>同比（%）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  <w:t>一、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医疗收入（含药品、耗材）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  <w:t>（一）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医疗服务项目收入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（1）综合医疗服务类收入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诊察收入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床位收入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其中：单人间、套间病房床位费收入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互联网+医疗服务收入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护理收入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其中：Ⅰ级护理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Ⅱ级护理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Ⅲ级护理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（2）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医技诊疗类收入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检查收入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  <w:t>其中：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磁共振扫描（MRI）费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left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  <w:t>　　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 w:val="18"/>
                <w:szCs w:val="18"/>
                <w:lang w:bidi="ar"/>
              </w:rPr>
              <w:t>X线计算机体层（CT）扫描费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  <w:t>　　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彩色多普勒超声检查费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  <w:t>检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验收入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病理收入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（3）临床诊疗类收入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治疗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手术收入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其中：6岁及以下儿童手术收入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物理治疗与康复收入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（4）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中医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诊疗类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（5）体检收入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（6）其他医疗项目收入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both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　27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  <w:t>（二）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药品收入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西药收入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其中：疫苗收入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中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药饮片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中成药收入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自制剂收入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三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耗材收入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  <w:t>（四）血液及血液制品收入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 w:ascii="Times New Roman" w:hAnsi="Times New Roman"/>
                <w:color w:val="auto"/>
                <w:kern w:val="0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二、公共卫生服务收入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三、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其他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非医疗项目</w:t>
            </w: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司法鉴定费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疫苗预防接种服务费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培训费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复印费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停车费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租赁费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废旧物处置费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……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56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258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napToGrid w:val="0"/>
                <w:color w:val="auto"/>
                <w:spacing w:val="-4"/>
                <w:kern w:val="0"/>
                <w:szCs w:val="21"/>
                <w:lang w:val="en-US" w:eastAsia="zh-CN" w:bidi="ar"/>
              </w:rPr>
              <w:t>其他收入</w:t>
            </w:r>
          </w:p>
        </w:tc>
        <w:tc>
          <w:tcPr>
            <w:tcW w:w="203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20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0" w:lineRule="exact"/>
        <w:ind w:firstLine="420" w:firstLineChars="200"/>
        <w:textAlignment w:val="auto"/>
        <w:outlineLvl w:val="9"/>
        <w:rPr>
          <w:rFonts w:hint="eastAsia" w:eastAsia="楷体_GB2312"/>
          <w:color w:val="auto"/>
          <w:kern w:val="0"/>
        </w:rPr>
      </w:pPr>
      <w:r>
        <w:rPr>
          <w:rFonts w:hint="eastAsia" w:eastAsia="楷体_GB2312"/>
          <w:color w:val="auto"/>
          <w:kern w:val="0"/>
        </w:rPr>
        <w:t>说明：1.说明中包含明确医疗服务项目编码的，按编码进行统计，以编码统计数据为准。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left="1260" w:leftChars="500" w:hanging="210" w:hangingChars="100"/>
        <w:textAlignment w:val="auto"/>
        <w:outlineLvl w:val="9"/>
        <w:rPr>
          <w:rFonts w:hint="eastAsia" w:eastAsia="楷体_GB2312"/>
          <w:color w:val="auto"/>
          <w:kern w:val="0"/>
        </w:rPr>
      </w:pPr>
      <w:r>
        <w:rPr>
          <w:rFonts w:hint="eastAsia" w:eastAsia="楷体_GB2312"/>
          <w:color w:val="auto"/>
          <w:kern w:val="0"/>
        </w:rPr>
        <w:t>2..其他非医疗服务项目收入包含司法鉴定收费、疫苗预防接种服务收费、培训费等行政事业性和经营服务性收费。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2021-06-02T01:55:28Z</dcterms:created>
  <dc:creator>Administrator</dc:creator>
  <cp:lastModifiedBy>闻钟祈福</cp:lastModifiedBy>
  <dcterms:modified xsi:type="dcterms:W3CDTF">2021-06-02T01:55:33Z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313995789_cloud</vt:lpwstr>
  </property>
  <property fmtid="{D5CDD505-2E9C-101B-9397-08002B2CF9AE}" pid="4" name="ICV">
    <vt:lpwstr>090C438E17624E49BDD64348C8EE0746</vt:lpwstr>
  </property>
</Properties>
</file>