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napToGrid w:val="0"/>
        <w:spacing w:line="580" w:lineRule="atLeast"/>
        <w:jc w:val="both"/>
        <w:rPr>
          <w:rFonts w:hint="default" w:eastAsia="仿宋_GB2312" w:cs="宋体"/>
          <w:color w:val="000000"/>
          <w:kern w:val="0"/>
          <w:sz w:val="32"/>
          <w:szCs w:val="32"/>
          <w:lang w:val="en-US" w:eastAsia="zh-CN"/>
        </w:rPr>
      </w:pPr>
      <w:r>
        <w:rPr>
          <w:rFonts w:hint="eastAsia" w:eastAsia="仿宋_GB2312" w:cs="宋体"/>
          <w:color w:val="000000"/>
          <w:kern w:val="0"/>
          <w:sz w:val="32"/>
          <w:szCs w:val="32"/>
          <w:lang w:val="en-US" w:eastAsia="zh-CN"/>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-8980170</wp:posOffset>
                </wp:positionV>
                <wp:extent cx="847725" cy="457200"/>
                <wp:effectExtent l="4445" t="4445" r="5080" b="14605"/>
                <wp:wrapNone/>
                <wp:docPr id="2" name="文本框 5"/>
                <wp:cNvGraphicFramePr/>
                <a:graphic xmlns:a="http://schemas.openxmlformats.org/drawingml/2006/main">
                  <a:graphicData uri="http://schemas.microsoft.com/office/word/2010/wordprocessingShape">
                    <wps:wsp>
                      <wps:cNvSpPr txBox="1"/>
                      <wps:spPr>
                        <a:xfrm>
                          <a:off x="0" y="0"/>
                          <a:ext cx="847725" cy="4572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overflowPunct w:val="0"/>
                              <w:adjustRightInd w:val="0"/>
                              <w:snapToGrid w:val="0"/>
                              <w:spacing w:line="580" w:lineRule="exact"/>
                              <w:rPr>
                                <w:rFonts w:hint="eastAsia" w:eastAsia="黑体"/>
                                <w:snapToGrid w:val="0"/>
                                <w:color w:val="000000"/>
                                <w:spacing w:val="-4"/>
                                <w:kern w:val="0"/>
                                <w:sz w:val="32"/>
                                <w:szCs w:val="32"/>
                              </w:rPr>
                            </w:pPr>
                            <w:r>
                              <w:rPr>
                                <w:rFonts w:hint="eastAsia" w:eastAsia="黑体"/>
                                <w:snapToGrid w:val="0"/>
                                <w:color w:val="000000"/>
                                <w:spacing w:val="-4"/>
                                <w:kern w:val="0"/>
                                <w:sz w:val="32"/>
                                <w:szCs w:val="32"/>
                              </w:rPr>
                              <w:t>附件2：</w:t>
                            </w:r>
                          </w:p>
                          <w:p/>
                        </w:txbxContent>
                      </wps:txbx>
                      <wps:bodyPr wrap="square" upright="1"/>
                    </wps:wsp>
                  </a:graphicData>
                </a:graphic>
              </wp:anchor>
            </w:drawing>
          </mc:Choice>
          <mc:Fallback>
            <w:pict>
              <v:shape id="文本框 5" o:spid="_x0000_s1026" o:spt="202" type="#_x0000_t202" style="position:absolute;left:0pt;margin-left:17.6pt;margin-top:-707.1pt;height:36pt;width:66.75pt;z-index:251659264;mso-width-relative:page;mso-height-relative:page;" fillcolor="#FFFFFF" filled="t" stroked="t" coordsize="21600,21600" o:gfxdata="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GBy7zbAAAADgEAAA8AAAAAAAAA&#10;AQAgAAAAIgAAAGRycy9kb3ducmV2LnhtbFBLAQIUABQAAAAIAIdO4kDrlFbNDgIAAEMEAAAOAAAA&#10;AAAAAAEAIAAAACoBAABkcnMvZTJvRG9jLnhtbFBLBQYAAAAABgAGAFkBAACqBQAAAAA=&#10;">
                <v:fill on="t" focussize="0,0"/>
                <v:stroke color="#FFFFFF" joinstyle="miter"/>
                <v:imagedata o:title=""/>
                <o:lock v:ext="edit" aspectratio="f"/>
                <v:textbox>
                  <w:txbxContent>
                    <w:p>
                      <w:pPr>
                        <w:overflowPunct w:val="0"/>
                        <w:adjustRightInd w:val="0"/>
                        <w:snapToGrid w:val="0"/>
                        <w:spacing w:line="580" w:lineRule="exact"/>
                        <w:rPr>
                          <w:rFonts w:hint="eastAsia" w:eastAsia="黑体"/>
                          <w:snapToGrid w:val="0"/>
                          <w:color w:val="000000"/>
                          <w:spacing w:val="-4"/>
                          <w:kern w:val="0"/>
                          <w:sz w:val="32"/>
                          <w:szCs w:val="32"/>
                        </w:rPr>
                      </w:pPr>
                      <w:r>
                        <w:rPr>
                          <w:rFonts w:hint="eastAsia" w:eastAsia="黑体"/>
                          <w:snapToGrid w:val="0"/>
                          <w:color w:val="000000"/>
                          <w:spacing w:val="-4"/>
                          <w:kern w:val="0"/>
                          <w:sz w:val="32"/>
                          <w:szCs w:val="32"/>
                        </w:rPr>
                        <w:t>附件2：</w:t>
                      </w:r>
                    </w:p>
                    <w:p/>
                  </w:txbxContent>
                </v:textbox>
              </v:shape>
            </w:pict>
          </mc:Fallback>
        </mc:AlternateContent>
      </w:r>
      <w:r>
        <w:rPr>
          <w:rFonts w:hint="eastAsia" w:eastAsia="仿宋_GB2312" w:cs="宋体"/>
          <w:color w:val="000000"/>
          <w:kern w:val="0"/>
          <w:sz w:val="32"/>
          <w:szCs w:val="32"/>
          <w:lang w:val="en-US" w:eastAsia="zh-CN"/>
        </w:rPr>
        <w:t>附件1:</w:t>
      </w:r>
      <w:bookmarkStart w:id="0" w:name="_GoBack"/>
      <w:bookmarkEnd w:id="0"/>
    </w:p>
    <w:p>
      <w:pPr>
        <w:keepNext w:val="0"/>
        <w:keepLines w:val="0"/>
        <w:pageBreakBefore w:val="0"/>
        <w:widowControl/>
        <w:kinsoku/>
        <w:wordWrap w:val="0"/>
        <w:overflowPunct/>
        <w:topLinePunct w:val="0"/>
        <w:autoSpaceDE/>
        <w:autoSpaceDN/>
        <w:bidi w:val="0"/>
        <w:spacing w:beforeAutospacing="0" w:afterAutospacing="0" w:line="580" w:lineRule="exact"/>
        <w:ind w:firstLine="640" w:firstLineChars="20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方正小标宋_GBK" w:eastAsia="方正小标宋_GBK" w:cs="宋体"/>
          <w:bCs/>
          <w:color w:val="000000"/>
          <w:kern w:val="0"/>
          <w:sz w:val="44"/>
          <w:szCs w:val="44"/>
        </w:rPr>
        <w:t>营利性非公立医疗机构医疗服务价格</w:t>
      </w:r>
    </w:p>
    <w:p>
      <w:pPr>
        <w:keepNext w:val="0"/>
        <w:keepLines w:val="0"/>
        <w:pageBreakBefore w:val="0"/>
        <w:widowControl/>
        <w:kinsoku/>
        <w:wordWrap w:val="0"/>
        <w:overflowPunct/>
        <w:topLinePunct w:val="0"/>
        <w:autoSpaceDE/>
        <w:autoSpaceDN/>
        <w:bidi w:val="0"/>
        <w:adjustRightInd w:val="0"/>
        <w:snapToGrid w:val="0"/>
        <w:spacing w:beforeAutospacing="0" w:after="158" w:afterLines="50" w:afterAutospacing="0" w:line="580" w:lineRule="exact"/>
        <w:jc w:val="center"/>
        <w:textAlignment w:val="auto"/>
        <w:outlineLvl w:val="9"/>
        <w:rPr>
          <w:rFonts w:hint="eastAsia" w:eastAsia="仿宋_GB2312" w:cs="宋体"/>
          <w:color w:val="000000"/>
          <w:kern w:val="0"/>
          <w:sz w:val="32"/>
          <w:szCs w:val="32"/>
        </w:rPr>
      </w:pPr>
      <w:r>
        <w:rPr>
          <w:rFonts w:hint="eastAsia" w:ascii="方正小标宋_GBK" w:eastAsia="方正小标宋_GBK" w:cs="宋体"/>
          <w:bCs/>
          <w:color w:val="000000"/>
          <w:kern w:val="0"/>
          <w:sz w:val="44"/>
          <w:szCs w:val="44"/>
        </w:rPr>
        <w:t>项目编码规则</w:t>
      </w:r>
    </w:p>
    <w:p>
      <w:pPr>
        <w:widowControl/>
        <w:wordWrap w:val="0"/>
        <w:snapToGrid w:val="0"/>
        <w:spacing w:line="580" w:lineRule="atLeast"/>
        <w:ind w:firstLine="640"/>
        <w:rPr>
          <w:rFonts w:eastAsia="仿宋_GB2312" w:cs="宋体"/>
          <w:color w:val="000000"/>
          <w:kern w:val="0"/>
          <w:sz w:val="32"/>
          <w:szCs w:val="32"/>
        </w:rPr>
      </w:pPr>
      <w:r>
        <w:rPr>
          <w:rFonts w:hint="eastAsia" w:eastAsia="仿宋_GB2312" w:cs="宋体"/>
          <w:color w:val="000000"/>
          <w:kern w:val="0"/>
          <w:sz w:val="32"/>
          <w:szCs w:val="32"/>
        </w:rPr>
        <w:t>根据省物价局、省卫生计生委、省人力资源社会保障厅《关于非公立医疗机构医疗服务实行市场调节价的通知》（苏价医</w:t>
      </w: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14</w:t>
      </w:r>
      <w:r>
        <w:rPr>
          <w:rFonts w:hint="eastAsia" w:ascii="Times New Roman" w:hAnsi="Times New Roman" w:eastAsia="仿宋_GB2312"/>
          <w:sz w:val="32"/>
          <w:szCs w:val="32"/>
        </w:rPr>
        <w:t>〕</w:t>
      </w:r>
      <w:r>
        <w:rPr>
          <w:rFonts w:eastAsia="仿宋_GB2312" w:cs="宋体"/>
          <w:color w:val="000000"/>
          <w:kern w:val="0"/>
          <w:sz w:val="32"/>
          <w:szCs w:val="32"/>
        </w:rPr>
        <w:t>209</w:t>
      </w:r>
      <w:r>
        <w:rPr>
          <w:rFonts w:hint="eastAsia" w:eastAsia="仿宋_GB2312" w:cs="宋体"/>
          <w:color w:val="000000"/>
          <w:kern w:val="0"/>
          <w:sz w:val="32"/>
          <w:szCs w:val="32"/>
        </w:rPr>
        <w:t>号）精神，为建立健全非公立医疗机构内部价格管理制度，加强对放开后医疗服务项目价格监测，便于信息化管理，经过充分调研论证，特制定本规则。</w:t>
      </w:r>
    </w:p>
    <w:p>
      <w:pPr>
        <w:widowControl/>
        <w:wordWrap w:val="0"/>
        <w:snapToGrid w:val="0"/>
        <w:spacing w:line="580" w:lineRule="atLeast"/>
        <w:ind w:firstLine="640"/>
        <w:rPr>
          <w:rFonts w:eastAsia="仿宋_GB2312" w:cs="宋体"/>
          <w:color w:val="000000"/>
          <w:kern w:val="0"/>
          <w:sz w:val="32"/>
          <w:szCs w:val="32"/>
        </w:rPr>
      </w:pPr>
      <w:r>
        <w:rPr>
          <w:rFonts w:hint="eastAsia" w:eastAsia="仿宋_GB2312" w:cs="宋体"/>
          <w:color w:val="000000"/>
          <w:kern w:val="0"/>
          <w:sz w:val="32"/>
          <w:szCs w:val="32"/>
        </w:rPr>
        <w:t>一、营利性非公立医疗机构在全省医疗服务价格项目规范之外设立医疗服务价格项目实行统一的九位编码。</w:t>
      </w:r>
    </w:p>
    <w:p>
      <w:pPr>
        <w:widowControl/>
        <w:wordWrap w:val="0"/>
        <w:snapToGrid w:val="0"/>
        <w:spacing w:line="580" w:lineRule="atLeast"/>
        <w:ind w:firstLine="640"/>
        <w:rPr>
          <w:rFonts w:eastAsia="仿宋_GB2312" w:cs="宋体"/>
          <w:color w:val="000000"/>
          <w:kern w:val="0"/>
          <w:sz w:val="32"/>
          <w:szCs w:val="32"/>
        </w:rPr>
      </w:pPr>
      <w:r>
        <w:rPr>
          <w:rFonts w:hint="eastAsia" w:eastAsia="仿宋_GB2312" w:cs="宋体"/>
          <w:color w:val="000000"/>
          <w:kern w:val="0"/>
          <w:sz w:val="32"/>
          <w:szCs w:val="32"/>
        </w:rPr>
        <w:t>第一位</w:t>
      </w:r>
      <w:r>
        <w:rPr>
          <w:rFonts w:eastAsia="仿宋_GB2312" w:cs="宋体"/>
          <w:color w:val="000000"/>
          <w:kern w:val="0"/>
          <w:sz w:val="32"/>
          <w:szCs w:val="32"/>
        </w:rPr>
        <w:t xml:space="preserve">  </w:t>
      </w:r>
      <w:r>
        <w:rPr>
          <w:rFonts w:hint="eastAsia" w:eastAsia="仿宋_GB2312" w:cs="宋体"/>
          <w:color w:val="000000"/>
          <w:kern w:val="0"/>
          <w:sz w:val="32"/>
          <w:szCs w:val="32"/>
        </w:rPr>
        <w:t>代表营利性非公立医疗机构在全省医疗服务价格项目规范之外设立的医疗服务价格项目（统一编码为“</w:t>
      </w:r>
      <w:r>
        <w:rPr>
          <w:rFonts w:eastAsia="仿宋_GB2312" w:cs="宋体"/>
          <w:color w:val="000000"/>
          <w:kern w:val="0"/>
          <w:sz w:val="32"/>
          <w:szCs w:val="32"/>
        </w:rPr>
        <w:t>9</w:t>
      </w:r>
      <w:r>
        <w:rPr>
          <w:rFonts w:hint="eastAsia" w:eastAsia="仿宋_GB2312" w:cs="宋体"/>
          <w:color w:val="000000"/>
          <w:kern w:val="0"/>
          <w:sz w:val="32"/>
          <w:szCs w:val="32"/>
        </w:rPr>
        <w:t>”）；</w:t>
      </w:r>
      <w:r>
        <w:rPr>
          <w:rFonts w:hint="eastAsia" w:eastAsia="仿宋_GB2312" w:cs="宋体"/>
          <w:color w:val="000000"/>
          <w:kern w:val="0"/>
          <w:sz w:val="32"/>
          <w:szCs w:val="32"/>
          <w:lang w:val="en-US" w:eastAsia="zh-CN"/>
        </w:rPr>
        <w:t xml:space="preserve">    </w:t>
      </w:r>
      <w:r>
        <w:rPr>
          <w:rFonts w:hint="eastAsia" w:eastAsia="仿宋_GB2312" w:cs="宋体"/>
          <w:color w:val="000000"/>
          <w:kern w:val="0"/>
          <w:sz w:val="32"/>
          <w:szCs w:val="32"/>
        </w:rPr>
        <w:t>第二、三位</w:t>
      </w:r>
      <w:r>
        <w:rPr>
          <w:rFonts w:eastAsia="仿宋_GB2312" w:cs="宋体"/>
          <w:color w:val="000000"/>
          <w:kern w:val="0"/>
          <w:sz w:val="32"/>
          <w:szCs w:val="32"/>
        </w:rPr>
        <w:t xml:space="preserve">  </w:t>
      </w:r>
      <w:r>
        <w:rPr>
          <w:rFonts w:hint="eastAsia" w:eastAsia="仿宋_GB2312" w:cs="宋体"/>
          <w:color w:val="000000"/>
          <w:kern w:val="0"/>
          <w:sz w:val="32"/>
          <w:szCs w:val="32"/>
        </w:rPr>
        <w:t>代表各省辖市地区编码</w:t>
      </w:r>
      <w:r>
        <w:rPr>
          <w:rFonts w:eastAsia="仿宋_GB2312" w:cs="宋体"/>
          <w:color w:val="000000"/>
          <w:kern w:val="0"/>
          <w:sz w:val="32"/>
          <w:szCs w:val="32"/>
        </w:rPr>
        <w:t>(00-13</w:t>
      </w:r>
      <w:r>
        <w:rPr>
          <w:rFonts w:hint="eastAsia" w:eastAsia="仿宋_GB2312" w:cs="宋体"/>
          <w:color w:val="000000"/>
          <w:kern w:val="0"/>
          <w:sz w:val="32"/>
          <w:szCs w:val="32"/>
        </w:rPr>
        <w:t>，见下表</w:t>
      </w:r>
      <w:r>
        <w:rPr>
          <w:rFonts w:eastAsia="仿宋_GB2312" w:cs="宋体"/>
          <w:color w:val="000000"/>
          <w:kern w:val="0"/>
          <w:sz w:val="32"/>
          <w:szCs w:val="32"/>
        </w:rPr>
        <w:t>)</w:t>
      </w:r>
      <w:r>
        <w:rPr>
          <w:rFonts w:hint="eastAsia" w:eastAsia="仿宋_GB2312" w:cs="宋体"/>
          <w:color w:val="000000"/>
          <w:kern w:val="0"/>
          <w:sz w:val="32"/>
          <w:szCs w:val="32"/>
        </w:rPr>
        <w:t>；</w:t>
      </w:r>
    </w:p>
    <w:p>
      <w:pPr>
        <w:widowControl/>
        <w:wordWrap w:val="0"/>
        <w:snapToGrid w:val="0"/>
        <w:spacing w:line="580" w:lineRule="atLeast"/>
        <w:jc w:val="center"/>
        <w:rPr>
          <w:rFonts w:hint="eastAsia" w:ascii="宋体" w:hAnsi="宋体" w:cs="宋体"/>
          <w:color w:val="000000"/>
          <w:kern w:val="0"/>
          <w:sz w:val="32"/>
          <w:szCs w:val="32"/>
        </w:rPr>
      </w:pPr>
      <w:r>
        <w:rPr>
          <w:rFonts w:hint="eastAsia" w:ascii="宋体" w:hAnsi="宋体" w:cs="宋体"/>
          <w:color w:val="000000"/>
          <w:kern w:val="0"/>
          <w:sz w:val="32"/>
          <w:szCs w:val="32"/>
        </w:rPr>
        <w:t>地区编码表</w:t>
      </w:r>
    </w:p>
    <w:tbl>
      <w:tblPr>
        <w:tblStyle w:val="4"/>
        <w:tblW w:w="8522" w:type="dxa"/>
        <w:jc w:val="center"/>
        <w:tblLayout w:type="fixed"/>
        <w:tblCellMar>
          <w:top w:w="0" w:type="dxa"/>
          <w:left w:w="108" w:type="dxa"/>
          <w:bottom w:w="0" w:type="dxa"/>
          <w:right w:w="108" w:type="dxa"/>
        </w:tblCellMar>
      </w:tblPr>
      <w:tblGrid>
        <w:gridCol w:w="1366"/>
        <w:gridCol w:w="2226"/>
        <w:gridCol w:w="392"/>
        <w:gridCol w:w="1554"/>
        <w:gridCol w:w="2984"/>
      </w:tblGrid>
      <w:tr>
        <w:tblPrEx>
          <w:tblCellMar>
            <w:top w:w="0" w:type="dxa"/>
            <w:left w:w="108" w:type="dxa"/>
            <w:bottom w:w="0" w:type="dxa"/>
            <w:right w:w="108" w:type="dxa"/>
          </w:tblCellMar>
        </w:tblPrEx>
        <w:trPr>
          <w:trHeight w:val="285" w:hRule="atLeast"/>
          <w:jc w:val="center"/>
        </w:trPr>
        <w:tc>
          <w:tcPr>
            <w:tcW w:w="13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编码</w:t>
            </w:r>
          </w:p>
        </w:tc>
        <w:tc>
          <w:tcPr>
            <w:tcW w:w="2226"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地区</w:t>
            </w:r>
          </w:p>
        </w:tc>
        <w:tc>
          <w:tcPr>
            <w:tcW w:w="392" w:type="dxa"/>
            <w:vMerge w:val="restart"/>
            <w:tcBorders>
              <w:top w:val="single" w:color="000000" w:sz="4" w:space="0"/>
              <w:left w:val="nil"/>
              <w:bottom w:val="single" w:color="000000" w:sz="4" w:space="0"/>
              <w:right w:val="single" w:color="000000" w:sz="4" w:space="0"/>
            </w:tcBorders>
            <w:vAlign w:val="center"/>
          </w:tcPr>
          <w:p>
            <w:pPr>
              <w:widowControl/>
              <w:spacing w:line="240" w:lineRule="atLeast"/>
              <w:jc w:val="left"/>
              <w:rPr>
                <w:rFonts w:ascii="宋体" w:hAnsi="宋体" w:cs="宋体"/>
                <w:color w:val="000000"/>
                <w:kern w:val="0"/>
                <w:sz w:val="18"/>
                <w:szCs w:val="18"/>
              </w:rPr>
            </w:pPr>
          </w:p>
        </w:tc>
        <w:tc>
          <w:tcPr>
            <w:tcW w:w="155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编码</w:t>
            </w:r>
          </w:p>
        </w:tc>
        <w:tc>
          <w:tcPr>
            <w:tcW w:w="298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地区</w:t>
            </w:r>
          </w:p>
        </w:tc>
      </w:tr>
      <w:tr>
        <w:tblPrEx>
          <w:tblCellMar>
            <w:top w:w="0" w:type="dxa"/>
            <w:left w:w="108" w:type="dxa"/>
            <w:bottom w:w="0" w:type="dxa"/>
            <w:right w:w="108" w:type="dxa"/>
          </w:tblCellMar>
        </w:tblPrEx>
        <w:trPr>
          <w:trHeight w:val="285" w:hRule="atLeast"/>
          <w:jc w:val="center"/>
        </w:trPr>
        <w:tc>
          <w:tcPr>
            <w:tcW w:w="13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00</w:t>
            </w:r>
          </w:p>
        </w:tc>
        <w:tc>
          <w:tcPr>
            <w:tcW w:w="2226"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省级</w:t>
            </w:r>
          </w:p>
        </w:tc>
        <w:tc>
          <w:tcPr>
            <w:tcW w:w="3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5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07</w:t>
            </w:r>
          </w:p>
        </w:tc>
        <w:tc>
          <w:tcPr>
            <w:tcW w:w="2984"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Cs w:val="21"/>
              </w:rPr>
              <w:t>连云港</w:t>
            </w:r>
          </w:p>
        </w:tc>
      </w:tr>
      <w:tr>
        <w:tblPrEx>
          <w:tblCellMar>
            <w:top w:w="0" w:type="dxa"/>
            <w:left w:w="108" w:type="dxa"/>
            <w:bottom w:w="0" w:type="dxa"/>
            <w:right w:w="108" w:type="dxa"/>
          </w:tblCellMar>
        </w:tblPrEx>
        <w:trPr>
          <w:trHeight w:val="285" w:hRule="atLeast"/>
          <w:jc w:val="center"/>
        </w:trPr>
        <w:tc>
          <w:tcPr>
            <w:tcW w:w="13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01</w:t>
            </w:r>
          </w:p>
        </w:tc>
        <w:tc>
          <w:tcPr>
            <w:tcW w:w="2226"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南京</w:t>
            </w:r>
          </w:p>
        </w:tc>
        <w:tc>
          <w:tcPr>
            <w:tcW w:w="3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5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 w:val="24"/>
              </w:rPr>
              <w:t>08</w:t>
            </w:r>
          </w:p>
        </w:tc>
        <w:tc>
          <w:tcPr>
            <w:tcW w:w="2984"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淮安</w:t>
            </w:r>
          </w:p>
        </w:tc>
      </w:tr>
      <w:tr>
        <w:tblPrEx>
          <w:tblCellMar>
            <w:top w:w="0" w:type="dxa"/>
            <w:left w:w="108" w:type="dxa"/>
            <w:bottom w:w="0" w:type="dxa"/>
            <w:right w:w="108" w:type="dxa"/>
          </w:tblCellMar>
        </w:tblPrEx>
        <w:trPr>
          <w:trHeight w:val="287" w:hRule="atLeast"/>
          <w:jc w:val="center"/>
        </w:trPr>
        <w:tc>
          <w:tcPr>
            <w:tcW w:w="13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02</w:t>
            </w:r>
          </w:p>
        </w:tc>
        <w:tc>
          <w:tcPr>
            <w:tcW w:w="2226"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无锡</w:t>
            </w:r>
          </w:p>
        </w:tc>
        <w:tc>
          <w:tcPr>
            <w:tcW w:w="3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5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 w:val="24"/>
              </w:rPr>
              <w:t>09</w:t>
            </w:r>
          </w:p>
        </w:tc>
        <w:tc>
          <w:tcPr>
            <w:tcW w:w="2984"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盐城</w:t>
            </w:r>
          </w:p>
        </w:tc>
      </w:tr>
      <w:tr>
        <w:tblPrEx>
          <w:tblCellMar>
            <w:top w:w="0" w:type="dxa"/>
            <w:left w:w="108" w:type="dxa"/>
            <w:bottom w:w="0" w:type="dxa"/>
            <w:right w:w="108" w:type="dxa"/>
          </w:tblCellMar>
        </w:tblPrEx>
        <w:trPr>
          <w:trHeight w:val="285" w:hRule="atLeast"/>
          <w:jc w:val="center"/>
        </w:trPr>
        <w:tc>
          <w:tcPr>
            <w:tcW w:w="13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03</w:t>
            </w:r>
          </w:p>
        </w:tc>
        <w:tc>
          <w:tcPr>
            <w:tcW w:w="2226"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徐州</w:t>
            </w:r>
          </w:p>
        </w:tc>
        <w:tc>
          <w:tcPr>
            <w:tcW w:w="3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5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 w:val="24"/>
              </w:rPr>
              <w:t>10</w:t>
            </w:r>
          </w:p>
        </w:tc>
        <w:tc>
          <w:tcPr>
            <w:tcW w:w="2984"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扬州</w:t>
            </w:r>
          </w:p>
        </w:tc>
      </w:tr>
      <w:tr>
        <w:tblPrEx>
          <w:tblCellMar>
            <w:top w:w="0" w:type="dxa"/>
            <w:left w:w="108" w:type="dxa"/>
            <w:bottom w:w="0" w:type="dxa"/>
            <w:right w:w="108" w:type="dxa"/>
          </w:tblCellMar>
        </w:tblPrEx>
        <w:trPr>
          <w:trHeight w:val="285" w:hRule="atLeast"/>
          <w:jc w:val="center"/>
        </w:trPr>
        <w:tc>
          <w:tcPr>
            <w:tcW w:w="13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04</w:t>
            </w:r>
          </w:p>
        </w:tc>
        <w:tc>
          <w:tcPr>
            <w:tcW w:w="2226"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常州</w:t>
            </w:r>
          </w:p>
        </w:tc>
        <w:tc>
          <w:tcPr>
            <w:tcW w:w="3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5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 w:val="24"/>
              </w:rPr>
              <w:t>11</w:t>
            </w:r>
          </w:p>
        </w:tc>
        <w:tc>
          <w:tcPr>
            <w:tcW w:w="2984"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镇江</w:t>
            </w:r>
          </w:p>
        </w:tc>
      </w:tr>
      <w:tr>
        <w:tblPrEx>
          <w:tblCellMar>
            <w:top w:w="0" w:type="dxa"/>
            <w:left w:w="108" w:type="dxa"/>
            <w:bottom w:w="0" w:type="dxa"/>
            <w:right w:w="108" w:type="dxa"/>
          </w:tblCellMar>
        </w:tblPrEx>
        <w:trPr>
          <w:trHeight w:val="285" w:hRule="atLeast"/>
          <w:jc w:val="center"/>
        </w:trPr>
        <w:tc>
          <w:tcPr>
            <w:tcW w:w="13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05</w:t>
            </w:r>
          </w:p>
        </w:tc>
        <w:tc>
          <w:tcPr>
            <w:tcW w:w="2226"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苏州</w:t>
            </w:r>
          </w:p>
        </w:tc>
        <w:tc>
          <w:tcPr>
            <w:tcW w:w="3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5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 w:val="24"/>
              </w:rPr>
              <w:t>12</w:t>
            </w:r>
          </w:p>
        </w:tc>
        <w:tc>
          <w:tcPr>
            <w:tcW w:w="2984"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泰州</w:t>
            </w:r>
          </w:p>
        </w:tc>
      </w:tr>
      <w:tr>
        <w:tblPrEx>
          <w:tblCellMar>
            <w:top w:w="0" w:type="dxa"/>
            <w:left w:w="108" w:type="dxa"/>
            <w:bottom w:w="0" w:type="dxa"/>
            <w:right w:w="108" w:type="dxa"/>
          </w:tblCellMar>
        </w:tblPrEx>
        <w:trPr>
          <w:trHeight w:val="285" w:hRule="atLeast"/>
          <w:jc w:val="center"/>
        </w:trPr>
        <w:tc>
          <w:tcPr>
            <w:tcW w:w="13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 w:val="24"/>
              </w:rPr>
            </w:pPr>
            <w:r>
              <w:rPr>
                <w:rFonts w:hint="eastAsia" w:ascii="宋体" w:hAnsi="宋体" w:cs="宋体"/>
                <w:color w:val="000000"/>
                <w:kern w:val="0"/>
                <w:sz w:val="24"/>
              </w:rPr>
              <w:t>06</w:t>
            </w:r>
          </w:p>
        </w:tc>
        <w:tc>
          <w:tcPr>
            <w:tcW w:w="2226"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南通</w:t>
            </w:r>
          </w:p>
        </w:tc>
        <w:tc>
          <w:tcPr>
            <w:tcW w:w="3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5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 w:val="24"/>
              </w:rPr>
              <w:t>13</w:t>
            </w:r>
          </w:p>
        </w:tc>
        <w:tc>
          <w:tcPr>
            <w:tcW w:w="2984" w:type="dxa"/>
            <w:tcBorders>
              <w:top w:val="single" w:color="000000" w:sz="4" w:space="0"/>
              <w:left w:val="nil"/>
              <w:bottom w:val="single" w:color="000000" w:sz="4" w:space="0"/>
              <w:right w:val="single" w:color="000000" w:sz="4" w:space="0"/>
            </w:tcBorders>
            <w:vAlign w:val="top"/>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宿迁</w:t>
            </w:r>
          </w:p>
        </w:tc>
      </w:tr>
    </w:tbl>
    <w:p>
      <w:pPr>
        <w:widowControl/>
        <w:wordWrap w:val="0"/>
        <w:snapToGrid w:val="0"/>
        <w:spacing w:line="580" w:lineRule="atLeas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第四、五位  代表《江苏省医疗服务项目价格手册》的二级分类编码（见下表）；</w:t>
      </w:r>
    </w:p>
    <w:p>
      <w:pPr>
        <w:widowControl/>
        <w:wordWrap w:val="0"/>
        <w:snapToGrid w:val="0"/>
        <w:spacing w:line="580" w:lineRule="atLeast"/>
        <w:rPr>
          <w:rFonts w:hint="eastAsia" w:ascii="仿宋_GB2312" w:hAnsi="宋体" w:eastAsia="仿宋_GB2312" w:cs="宋体"/>
          <w:color w:val="000000"/>
          <w:kern w:val="0"/>
          <w:sz w:val="32"/>
          <w:szCs w:val="32"/>
        </w:rPr>
      </w:pPr>
    </w:p>
    <w:tbl>
      <w:tblPr>
        <w:tblStyle w:val="4"/>
        <w:tblW w:w="7095" w:type="dxa"/>
        <w:jc w:val="center"/>
        <w:tblLayout w:type="fixed"/>
        <w:tblCellMar>
          <w:top w:w="0" w:type="dxa"/>
          <w:left w:w="108" w:type="dxa"/>
          <w:bottom w:w="0" w:type="dxa"/>
          <w:right w:w="108" w:type="dxa"/>
        </w:tblCellMar>
      </w:tblPr>
      <w:tblGrid>
        <w:gridCol w:w="2419"/>
        <w:gridCol w:w="4676"/>
      </w:tblGrid>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二级分类编码</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名称</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11</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一般医疗服务</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12</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一般检查治疗</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13</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社区卫生及预防保健项目</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14</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其它医疗服务项目</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21</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医学影像</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22</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超声检查</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23</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核医学</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24</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放射治疗</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25</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检验</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26</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血型与配血</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27</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病理检查</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31</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临床各系统诊疗</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32</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经血管介入诊疗</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33</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手术治疗</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34</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物理治疗与康复</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36</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疼痛诊疗类</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41</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中医外治</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42</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中医骨伤</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43</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针刺</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44</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灸法</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45</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推拿疗法</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46</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中医肛肠</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47</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中医特殊疗法</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48</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中医综合</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70</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单病种项目</w:t>
            </w:r>
          </w:p>
        </w:tc>
      </w:tr>
      <w:tr>
        <w:tblPrEx>
          <w:tblCellMar>
            <w:top w:w="0" w:type="dxa"/>
            <w:left w:w="108" w:type="dxa"/>
            <w:bottom w:w="0" w:type="dxa"/>
            <w:right w:w="108" w:type="dxa"/>
          </w:tblCellMar>
        </w:tblPrEx>
        <w:trPr>
          <w:trHeight w:val="285" w:hRule="atLeast"/>
          <w:jc w:val="center"/>
        </w:trPr>
        <w:tc>
          <w:tcPr>
            <w:tcW w:w="24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color w:val="000000"/>
                <w:kern w:val="0"/>
                <w:szCs w:val="21"/>
              </w:rPr>
            </w:pPr>
            <w:r>
              <w:rPr>
                <w:color w:val="000000"/>
                <w:kern w:val="0"/>
                <w:szCs w:val="21"/>
              </w:rPr>
              <w:t>71</w:t>
            </w:r>
          </w:p>
        </w:tc>
        <w:tc>
          <w:tcPr>
            <w:tcW w:w="4676" w:type="dxa"/>
            <w:tcBorders>
              <w:top w:val="single" w:color="000000" w:sz="4" w:space="0"/>
              <w:left w:val="nil"/>
              <w:bottom w:val="single" w:color="000000" w:sz="4" w:space="0"/>
              <w:right w:val="single" w:color="000000" w:sz="4" w:space="0"/>
            </w:tcBorders>
            <w:vAlign w:val="center"/>
          </w:tcPr>
          <w:p>
            <w:pPr>
              <w:widowControl/>
              <w:spacing w:line="240" w:lineRule="atLeast"/>
              <w:jc w:val="left"/>
              <w:rPr>
                <w:color w:val="000000"/>
                <w:kern w:val="0"/>
                <w:szCs w:val="21"/>
              </w:rPr>
            </w:pPr>
            <w:r>
              <w:rPr>
                <w:color w:val="000000"/>
                <w:kern w:val="0"/>
                <w:szCs w:val="21"/>
              </w:rPr>
              <w:t>日间手术病种</w:t>
            </w:r>
          </w:p>
        </w:tc>
      </w:tr>
    </w:tbl>
    <w:p>
      <w:pPr>
        <w:widowControl/>
        <w:wordWrap w:val="0"/>
        <w:snapToGrid w:val="0"/>
        <w:spacing w:line="580" w:lineRule="atLeast"/>
        <w:rPr>
          <w:rFonts w:hint="eastAsia" w:eastAsia="仿宋_GB2312" w:cs="宋体"/>
          <w:color w:val="000000"/>
          <w:kern w:val="0"/>
          <w:sz w:val="32"/>
          <w:szCs w:val="32"/>
        </w:rPr>
      </w:pPr>
    </w:p>
    <w:p>
      <w:pPr>
        <w:widowControl/>
        <w:wordWrap w:val="0"/>
        <w:snapToGrid w:val="0"/>
        <w:spacing w:line="580" w:lineRule="atLeast"/>
        <w:ind w:firstLine="640" w:firstLineChars="200"/>
        <w:rPr>
          <w:rFonts w:eastAsia="仿宋_GB2312" w:cs="宋体"/>
          <w:color w:val="000000"/>
          <w:kern w:val="0"/>
          <w:sz w:val="32"/>
          <w:szCs w:val="32"/>
        </w:rPr>
      </w:pPr>
      <w:r>
        <w:rPr>
          <w:rFonts w:hint="eastAsia" w:eastAsia="仿宋_GB2312" w:cs="宋体"/>
          <w:color w:val="000000"/>
          <w:kern w:val="0"/>
          <w:sz w:val="32"/>
          <w:szCs w:val="32"/>
        </w:rPr>
        <w:t>第六—九位</w:t>
      </w:r>
      <w:r>
        <w:rPr>
          <w:rFonts w:eastAsia="仿宋_GB2312" w:cs="宋体"/>
          <w:color w:val="000000"/>
          <w:kern w:val="0"/>
          <w:sz w:val="32"/>
          <w:szCs w:val="32"/>
        </w:rPr>
        <w:t xml:space="preserve">  </w:t>
      </w:r>
      <w:r>
        <w:rPr>
          <w:rFonts w:hint="eastAsia" w:eastAsia="仿宋_GB2312" w:cs="宋体"/>
          <w:color w:val="000000"/>
          <w:kern w:val="0"/>
          <w:sz w:val="32"/>
          <w:szCs w:val="32"/>
        </w:rPr>
        <w:t>代表医疗服务价格项目顺序码（</w:t>
      </w:r>
      <w:r>
        <w:rPr>
          <w:rFonts w:eastAsia="仿宋_GB2312" w:cs="宋体"/>
          <w:color w:val="000000"/>
          <w:kern w:val="0"/>
          <w:sz w:val="32"/>
          <w:szCs w:val="32"/>
        </w:rPr>
        <w:t>0001-9999</w:t>
      </w:r>
      <w:r>
        <w:rPr>
          <w:rFonts w:hint="eastAsia" w:eastAsia="仿宋_GB2312" w:cs="宋体"/>
          <w:color w:val="000000"/>
          <w:kern w:val="0"/>
          <w:sz w:val="32"/>
          <w:szCs w:val="32"/>
        </w:rPr>
        <w:t>），各省辖市价格主管部门根据营利性非公立医疗机构自主立项的具体医疗服务价格项目，按对应的二级分类进行编码登记。</w:t>
      </w:r>
    </w:p>
    <w:p>
      <w:pPr>
        <w:widowControl/>
        <w:wordWrap w:val="0"/>
        <w:snapToGrid w:val="0"/>
        <w:spacing w:line="580" w:lineRule="atLeast"/>
        <w:ind w:firstLine="640" w:firstLineChars="200"/>
        <w:rPr>
          <w:rFonts w:eastAsia="仿宋_GB2312" w:cs="宋体"/>
          <w:color w:val="000000"/>
          <w:kern w:val="0"/>
          <w:sz w:val="32"/>
          <w:szCs w:val="32"/>
        </w:rPr>
      </w:pPr>
      <w:r>
        <w:rPr>
          <w:rFonts w:hint="eastAsia" w:eastAsia="仿宋_GB2312" w:cs="宋体"/>
          <w:color w:val="000000"/>
          <w:kern w:val="0"/>
          <w:sz w:val="32"/>
          <w:szCs w:val="32"/>
        </w:rPr>
        <w:t>二、各省辖市价格主管部门会同卫生计生、人力资源和社会保障部门制定对市区及县级的医疗服务价格项目登记程序、时限，省直管县（市）的医疗服务价格项目报省辖市登记。</w:t>
      </w:r>
    </w:p>
    <w:p>
      <w:pPr>
        <w:widowControl/>
        <w:wordWrap w:val="0"/>
        <w:snapToGrid w:val="0"/>
        <w:spacing w:line="580" w:lineRule="atLeast"/>
        <w:ind w:firstLine="640" w:firstLineChars="200"/>
        <w:rPr>
          <w:rFonts w:eastAsia="仿宋_GB2312" w:cs="宋体"/>
          <w:color w:val="000000"/>
          <w:kern w:val="0"/>
          <w:sz w:val="32"/>
          <w:szCs w:val="32"/>
        </w:rPr>
      </w:pPr>
      <w:r>
        <w:rPr>
          <w:rFonts w:hint="eastAsia" w:eastAsia="仿宋_GB2312" w:cs="宋体"/>
          <w:color w:val="000000"/>
          <w:kern w:val="0"/>
          <w:sz w:val="32"/>
          <w:szCs w:val="32"/>
        </w:rPr>
        <w:t>三、各地必须高度重视编码工作，建立营利性非公立医疗机构医疗服务价格项目编码规则，是非公立医疗机构内部价格管理的基础，是建立医疗保险经办机构与定点非公立医疗机构谈判机制的前提，也是及时掌握医疗服务项目价格变化和医药费用控制情况的基础性工作，通过采集、发布非公立医疗机构医疗服务价格信息</w:t>
      </w:r>
      <w:r>
        <w:rPr>
          <w:rFonts w:eastAsia="仿宋_GB2312" w:cs="宋体"/>
          <w:color w:val="000000"/>
          <w:kern w:val="0"/>
          <w:sz w:val="32"/>
          <w:szCs w:val="32"/>
        </w:rPr>
        <w:t>,</w:t>
      </w:r>
      <w:r>
        <w:rPr>
          <w:rFonts w:hint="eastAsia" w:eastAsia="仿宋_GB2312" w:cs="宋体"/>
          <w:color w:val="000000"/>
          <w:kern w:val="0"/>
          <w:sz w:val="32"/>
          <w:szCs w:val="32"/>
        </w:rPr>
        <w:t>引导非公立医疗机构医疗服务价格的合理形成。</w:t>
      </w:r>
    </w:p>
    <w:p>
      <w:pPr>
        <w:widowControl/>
        <w:wordWrap w:val="0"/>
        <w:spacing w:before="100" w:beforeAutospacing="1" w:after="100" w:afterAutospacing="1" w:line="580" w:lineRule="atLeast"/>
        <w:jc w:val="left"/>
        <w:rPr>
          <w:rFonts w:hint="eastAsia" w:ascii="仿宋_GB2312" w:hAnsi="宋体" w:eastAsia="仿宋_GB2312" w:cs="宋体"/>
          <w:color w:val="000000"/>
          <w:kern w:val="0"/>
          <w:sz w:val="32"/>
          <w:szCs w:val="32"/>
        </w:rPr>
      </w:pPr>
    </w:p>
    <w:p>
      <w:pPr>
        <w:adjustRightInd w:val="0"/>
        <w:snapToGrid w:val="0"/>
        <w:jc w:val="left"/>
        <w:rPr>
          <w:rFonts w:hint="eastAsia" w:ascii="Times New Roman" w:hAnsi="Times New Roman" w:eastAsia="仿宋_GB2312"/>
          <w:spacing w:val="-4"/>
          <w:sz w:val="32"/>
          <w:szCs w:val="32"/>
        </w:rPr>
      </w:pPr>
    </w:p>
    <w:p>
      <w:pPr>
        <w:adjustRightInd w:val="0"/>
        <w:snapToGrid w:val="0"/>
        <w:jc w:val="left"/>
        <w:rPr>
          <w:rFonts w:hint="eastAsia" w:ascii="Times New Roman" w:hAnsi="Times New Roman" w:eastAsia="仿宋_GB2312"/>
          <w:spacing w:val="-4"/>
          <w:sz w:val="32"/>
          <w:szCs w:val="32"/>
        </w:rPr>
      </w:pPr>
    </w:p>
    <w:p>
      <w:pPr>
        <w:adjustRightInd w:val="0"/>
        <w:snapToGrid w:val="0"/>
        <w:jc w:val="left"/>
        <w:rPr>
          <w:rFonts w:hint="eastAsia" w:ascii="Times New Roman" w:hAnsi="Times New Roman" w:eastAsia="仿宋_GB2312"/>
          <w:spacing w:val="-4"/>
          <w:sz w:val="32"/>
          <w:szCs w:val="32"/>
        </w:rPr>
        <w:sectPr>
          <w:headerReference r:id="rId3" w:type="default"/>
          <w:footerReference r:id="rId4" w:type="default"/>
          <w:pgSz w:w="11906" w:h="16838"/>
          <w:pgMar w:top="2041" w:right="1559" w:bottom="1928" w:left="1559" w:header="851" w:footer="1247" w:gutter="0"/>
          <w:lnNumType w:countBy="0" w:restart="continuous"/>
          <w:cols w:space="720" w:num="1"/>
          <w:docGrid w:type="linesAndChars" w:linePitch="313" w:charSpace="0"/>
        </w:sectPr>
      </w:pPr>
    </w:p>
    <w:p>
      <w:pPr>
        <w:keepNext w:val="0"/>
        <w:keepLines w:val="0"/>
        <w:pageBreakBefore w:val="0"/>
        <w:widowControl w:val="0"/>
        <w:kinsoku/>
        <w:wordWrap/>
        <w:overflowPunct/>
        <w:topLinePunct w:val="0"/>
        <w:autoSpaceDE/>
        <w:autoSpaceDN/>
        <w:bidi w:val="0"/>
        <w:adjustRightInd/>
        <w:snapToGrid/>
        <w:spacing w:after="158" w:afterLines="50" w:line="58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158" w:afterLines="50" w:line="580" w:lineRule="exact"/>
        <w:jc w:val="center"/>
        <w:textAlignment w:val="auto"/>
        <w:outlineLvl w:val="9"/>
        <w:rPr>
          <w:rFonts w:hint="eastAsia" w:ascii="Times New Roman" w:hAnsi="Times New Roman"/>
          <w:sz w:val="44"/>
          <w:szCs w:val="44"/>
        </w:rPr>
      </w:pPr>
      <w:r>
        <w:rPr>
          <w:rFonts w:hint="eastAsia" w:ascii="Times New Roman" w:hAnsi="Times New Roman"/>
          <w:sz w:val="44"/>
          <w:szCs w:val="44"/>
        </w:rPr>
        <w:t>苏州市营利性非公医疗机构自立医疗服务项目编码申报表</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医疗机构：（盖章）                                                            申报日期：　  年     月    日</w:t>
      </w:r>
    </w:p>
    <w:tbl>
      <w:tblPr>
        <w:tblStyle w:val="4"/>
        <w:tblW w:w="130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1701"/>
        <w:gridCol w:w="1308"/>
        <w:gridCol w:w="2094"/>
        <w:gridCol w:w="1134"/>
        <w:gridCol w:w="1134"/>
        <w:gridCol w:w="1134"/>
        <w:gridCol w:w="1677"/>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01"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项目名称</w:t>
            </w:r>
          </w:p>
        </w:tc>
        <w:tc>
          <w:tcPr>
            <w:tcW w:w="1308"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建议编码</w:t>
            </w:r>
          </w:p>
        </w:tc>
        <w:tc>
          <w:tcPr>
            <w:tcW w:w="2094"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项目内涵</w:t>
            </w:r>
          </w:p>
        </w:tc>
        <w:tc>
          <w:tcPr>
            <w:tcW w:w="1134"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除外内容</w:t>
            </w:r>
          </w:p>
        </w:tc>
        <w:tc>
          <w:tcPr>
            <w:tcW w:w="1134"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计价单位</w:t>
            </w:r>
          </w:p>
        </w:tc>
        <w:tc>
          <w:tcPr>
            <w:tcW w:w="1134"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价格（元）</w:t>
            </w:r>
          </w:p>
        </w:tc>
        <w:tc>
          <w:tcPr>
            <w:tcW w:w="1677"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p>
        </w:tc>
        <w:tc>
          <w:tcPr>
            <w:tcW w:w="2268"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申报项目事由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jc w:val="center"/>
              <w:rPr>
                <w:sz w:val="24"/>
                <w:szCs w:val="24"/>
              </w:rPr>
            </w:pPr>
          </w:p>
        </w:tc>
        <w:tc>
          <w:tcPr>
            <w:tcW w:w="130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09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30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09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30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09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30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094" w:type="dxa"/>
            <w:tcBorders>
              <w:tl2br w:val="nil"/>
              <w:tr2bl w:val="nil"/>
            </w:tcBorders>
            <w:tcMar>
              <w:top w:w="10" w:type="dxa"/>
              <w:left w:w="10" w:type="dxa"/>
              <w:right w:w="10" w:type="dxa"/>
            </w:tcMar>
            <w:vAlign w:val="top"/>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30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09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30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09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30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09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eastAsia" w:ascii="Times New Roman" w:hAnsi="Times New Roman"/>
          <w:lang w:val="en-US" w:eastAsia="zh-CN"/>
        </w:rPr>
      </w:pPr>
      <w:r>
        <w:rPr>
          <w:rFonts w:hint="eastAsia" w:ascii="Times New Roman" w:hAnsi="Times New Roman"/>
          <w:lang w:val="en-US" w:eastAsia="zh-CN"/>
        </w:rPr>
        <w:t>说明：1.本表一式三份，医疗机构、医保部门、卫健部门各一份。</w:t>
      </w:r>
    </w:p>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lang w:val="en-US" w:eastAsia="zh-CN"/>
        </w:rPr>
      </w:pPr>
      <w:r>
        <w:rPr>
          <w:rFonts w:hint="eastAsia" w:ascii="Times New Roman" w:hAnsi="Times New Roman"/>
          <w:lang w:val="en-US" w:eastAsia="zh-CN"/>
        </w:rPr>
        <w:t xml:space="preserve">      2.建议编码填写：按照《 营利性非公立医疗机构医疗服务价格项目编码规则》填写前5位，后四位顺序编码统一填写0000。</w:t>
      </w:r>
    </w:p>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lang w:val="en-US" w:eastAsia="zh-CN"/>
        </w:rPr>
      </w:pPr>
      <w:r>
        <w:rPr>
          <w:rFonts w:hint="eastAsia" w:ascii="Times New Roman" w:hAnsi="Times New Roman"/>
          <w:lang w:val="en-US" w:eastAsia="zh-CN"/>
        </w:rPr>
        <w:t xml:space="preserve">      2.申报项目事由填写：新技术、新方法、新服务、改变收费方式。</w:t>
      </w:r>
    </w:p>
    <w:p>
      <w:pPr>
        <w:spacing w:line="580" w:lineRule="exact"/>
        <w:rPr>
          <w:rFonts w:hint="eastAsia" w:ascii="Times New Roman" w:hAnsi="Times New Roman"/>
          <w:sz w:val="24"/>
          <w:szCs w:val="24"/>
        </w:rPr>
      </w:pPr>
    </w:p>
    <w:p>
      <w:pPr>
        <w:spacing w:line="580" w:lineRule="exact"/>
        <w:rPr>
          <w:rFonts w:hint="eastAsia" w:ascii="Times New Roman" w:hAnsi="Times New Roman"/>
          <w:sz w:val="24"/>
          <w:szCs w:val="24"/>
        </w:rPr>
      </w:pP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法人代表签字：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经办人签字：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联系电话：</w:t>
      </w:r>
    </w:p>
    <w:p>
      <w:pPr>
        <w:spacing w:line="580" w:lineRule="exact"/>
        <w:rPr>
          <w:rFonts w:hint="eastAsia" w:ascii="Times New Roman" w:hAnsi="Times New Roman"/>
        </w:rPr>
      </w:pP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年    月    日</w:t>
      </w:r>
    </w:p>
    <w:p>
      <w:pPr>
        <w:spacing w:line="580" w:lineRule="exact"/>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8" w:afterLines="50" w:line="58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after="158" w:afterLines="50" w:line="580" w:lineRule="exact"/>
        <w:jc w:val="center"/>
        <w:textAlignment w:val="auto"/>
        <w:outlineLvl w:val="9"/>
        <w:rPr>
          <w:rFonts w:hint="eastAsia" w:ascii="Times New Roman" w:hAnsi="Times New Roman"/>
          <w:sz w:val="44"/>
          <w:szCs w:val="44"/>
        </w:rPr>
      </w:pPr>
      <w:r>
        <w:rPr>
          <w:rFonts w:hint="eastAsia" w:ascii="Times New Roman" w:hAnsi="Times New Roman"/>
          <w:sz w:val="44"/>
          <w:szCs w:val="44"/>
        </w:rPr>
        <w:t>苏州市营利性非公医疗机构自立医疗服务项目编码</w:t>
      </w:r>
      <w:r>
        <w:rPr>
          <w:rFonts w:hint="eastAsia" w:ascii="Times New Roman" w:hAnsi="Times New Roman"/>
          <w:sz w:val="44"/>
          <w:szCs w:val="44"/>
          <w:lang w:val="en-US" w:eastAsia="zh-CN"/>
        </w:rPr>
        <w:t>登记</w:t>
      </w:r>
      <w:r>
        <w:rPr>
          <w:rFonts w:hint="eastAsia" w:ascii="Times New Roman" w:hAnsi="Times New Roman"/>
          <w:sz w:val="44"/>
          <w:szCs w:val="44"/>
        </w:rPr>
        <w:t>表</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医疗机构：                                                                </w:t>
      </w:r>
    </w:p>
    <w:tbl>
      <w:tblPr>
        <w:tblStyle w:val="4"/>
        <w:tblW w:w="130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1701"/>
        <w:gridCol w:w="1430"/>
        <w:gridCol w:w="1972"/>
        <w:gridCol w:w="1134"/>
        <w:gridCol w:w="1134"/>
        <w:gridCol w:w="1134"/>
        <w:gridCol w:w="1677"/>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01"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4"/>
                <w:szCs w:val="24"/>
                <w:u w:val="none"/>
                <w:lang w:val="en-US" w:eastAsia="zh-CN" w:bidi="ar"/>
              </w:rPr>
              <w:t>项目名称</w:t>
            </w:r>
          </w:p>
        </w:tc>
        <w:tc>
          <w:tcPr>
            <w:tcW w:w="1430"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登记编码</w:t>
            </w:r>
          </w:p>
        </w:tc>
        <w:tc>
          <w:tcPr>
            <w:tcW w:w="1972"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项目内涵</w:t>
            </w:r>
          </w:p>
        </w:tc>
        <w:tc>
          <w:tcPr>
            <w:tcW w:w="1134"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除外内容</w:t>
            </w:r>
          </w:p>
        </w:tc>
        <w:tc>
          <w:tcPr>
            <w:tcW w:w="1134"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计价单位</w:t>
            </w:r>
          </w:p>
        </w:tc>
        <w:tc>
          <w:tcPr>
            <w:tcW w:w="1134"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价格（元）</w:t>
            </w:r>
          </w:p>
        </w:tc>
        <w:tc>
          <w:tcPr>
            <w:tcW w:w="1677"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p>
        </w:tc>
        <w:tc>
          <w:tcPr>
            <w:tcW w:w="2268" w:type="dxa"/>
            <w:tcBorders>
              <w:tl2br w:val="nil"/>
              <w:tr2bl w:val="nil"/>
            </w:tcBorders>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登记项目事由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jc w:val="center"/>
              <w:rPr>
                <w:sz w:val="24"/>
                <w:szCs w:val="24"/>
              </w:rPr>
            </w:pPr>
          </w:p>
        </w:tc>
        <w:tc>
          <w:tcPr>
            <w:tcW w:w="1430"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972"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430"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972"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430"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972"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430"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972" w:type="dxa"/>
            <w:tcBorders>
              <w:tl2br w:val="nil"/>
              <w:tr2bl w:val="nil"/>
            </w:tcBorders>
            <w:tcMar>
              <w:top w:w="10" w:type="dxa"/>
              <w:left w:w="10" w:type="dxa"/>
              <w:right w:w="10" w:type="dxa"/>
            </w:tcMar>
            <w:vAlign w:val="top"/>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430"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972"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430"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972"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56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701" w:type="dxa"/>
            <w:tcBorders>
              <w:tl2br w:val="nil"/>
              <w:tr2bl w:val="nil"/>
            </w:tcBorders>
            <w:tcMar>
              <w:top w:w="10" w:type="dxa"/>
              <w:left w:w="10" w:type="dxa"/>
              <w:right w:w="10" w:type="dxa"/>
            </w:tcMar>
            <w:vAlign w:val="center"/>
          </w:tcPr>
          <w:p>
            <w:pPr>
              <w:rPr>
                <w:sz w:val="24"/>
                <w:szCs w:val="24"/>
              </w:rPr>
            </w:pPr>
          </w:p>
        </w:tc>
        <w:tc>
          <w:tcPr>
            <w:tcW w:w="1430"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972"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34"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677"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2268" w:type="dxa"/>
            <w:tcBorders>
              <w:tl2br w:val="nil"/>
              <w:tr2bl w:val="nil"/>
            </w:tcBorders>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eastAsia" w:ascii="Times New Roman" w:hAnsi="Times New Roman"/>
          <w:lang w:val="en-US" w:eastAsia="zh-CN"/>
        </w:rPr>
      </w:pPr>
      <w:r>
        <w:rPr>
          <w:rFonts w:hint="eastAsia" w:ascii="Times New Roman" w:hAnsi="Times New Roman"/>
          <w:lang w:val="en-US" w:eastAsia="zh-CN"/>
        </w:rPr>
        <w:t>说明：本表一式三份，医疗机构、医保部门、卫健部门各一份。</w:t>
      </w:r>
    </w:p>
    <w:p>
      <w:pPr>
        <w:keepNext w:val="0"/>
        <w:keepLines w:val="0"/>
        <w:pageBreakBefore w:val="0"/>
        <w:widowControl w:val="0"/>
        <w:kinsoku/>
        <w:wordWrap/>
        <w:overflowPunct/>
        <w:topLinePunct w:val="0"/>
        <w:autoSpaceDE/>
        <w:autoSpaceDN/>
        <w:bidi w:val="0"/>
        <w:adjustRightInd/>
        <w:snapToGrid w:val="0"/>
        <w:spacing w:line="240" w:lineRule="exact"/>
        <w:textAlignment w:val="auto"/>
        <w:outlineLvl w:val="9"/>
        <w:rPr>
          <w:rFonts w:hint="default" w:ascii="Times New Roman" w:hAnsi="Times New Roman"/>
          <w:lang w:val="en-US" w:eastAsia="zh-CN"/>
        </w:rPr>
      </w:pPr>
      <w:r>
        <w:rPr>
          <w:rFonts w:hint="eastAsia" w:ascii="Times New Roman" w:hAnsi="Times New Roman"/>
          <w:lang w:val="en-US" w:eastAsia="zh-CN"/>
        </w:rPr>
        <w:t xml:space="preserve">    </w:t>
      </w:r>
    </w:p>
    <w:p>
      <w:pPr>
        <w:spacing w:line="580" w:lineRule="exact"/>
        <w:ind w:firstLine="1680" w:firstLineChars="700"/>
        <w:rPr>
          <w:rFonts w:hint="eastAsia" w:ascii="Times New Roman" w:hAnsi="Times New Roman"/>
          <w:sz w:val="24"/>
          <w:szCs w:val="24"/>
        </w:rPr>
      </w:pPr>
      <w:r>
        <w:rPr>
          <w:rFonts w:hint="eastAsia" w:ascii="Times New Roman" w:hAnsi="Times New Roman"/>
          <w:sz w:val="24"/>
          <w:szCs w:val="24"/>
          <w:lang w:val="en-US" w:eastAsia="zh-CN"/>
        </w:rPr>
        <w:t>苏州市医疗保障局</w:t>
      </w: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w:t>
      </w:r>
      <w:r>
        <w:rPr>
          <w:rFonts w:hint="eastAsia" w:ascii="Times New Roman" w:hAnsi="Times New Roman"/>
          <w:sz w:val="24"/>
          <w:szCs w:val="24"/>
          <w:lang w:val="en-US" w:eastAsia="zh-CN"/>
        </w:rPr>
        <w:t>苏州市卫生健康委员会</w:t>
      </w:r>
    </w:p>
    <w:p>
      <w:pPr>
        <w:spacing w:line="580" w:lineRule="exact"/>
        <w:rPr>
          <w:rFonts w:hint="eastAsia" w:ascii="Times New Roman" w:hAnsi="Times New Roman"/>
        </w:rPr>
        <w:sectPr>
          <w:headerReference r:id="rId5" w:type="default"/>
          <w:footerReference r:id="rId6" w:type="default"/>
          <w:footerReference r:id="rId7" w:type="even"/>
          <w:pgSz w:w="16838" w:h="11906" w:orient="landscape"/>
          <w:pgMar w:top="1559" w:right="2041" w:bottom="1559" w:left="1928" w:header="851" w:footer="1247" w:gutter="0"/>
          <w:lnNumType w:countBy="0" w:restart="continuous"/>
          <w:cols w:space="720" w:num="1"/>
          <w:rtlGutter w:val="0"/>
          <w:docGrid w:type="linesAndChars" w:linePitch="313" w:charSpace="0"/>
        </w:sectPr>
      </w:pP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right"/>
      <w:rPr>
        <w:rFonts w:ascii="宋体" w:hAnsi="宋体"/>
        <w:sz w:val="30"/>
        <w:szCs w:val="30"/>
      </w:rPr>
    </w:pPr>
    <w:r>
      <w:rPr>
        <w:rFonts w:hint="eastAsia" w:ascii="宋体" w:hAnsi="宋体"/>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 PAGE   \* MERGEFORMAT </w:instrText>
    </w:r>
    <w:r>
      <w:rPr>
        <w:rFonts w:ascii="Times New Roman" w:hAnsi="Times New Roman"/>
        <w:sz w:val="30"/>
        <w:szCs w:val="30"/>
      </w:rPr>
      <w:fldChar w:fldCharType="separate"/>
    </w:r>
    <w:r>
      <w:rPr>
        <w:rFonts w:ascii="Times New Roman" w:hAnsi="Times New Roman"/>
        <w:sz w:val="30"/>
        <w:szCs w:val="30"/>
        <w:lang w:val="zh-CN"/>
      </w:rPr>
      <w:t>5</w:t>
    </w:r>
    <w:r>
      <w:rPr>
        <w:rFonts w:ascii="Times New Roman" w:hAnsi="Times New Roman"/>
        <w:sz w:val="30"/>
        <w:szCs w:val="30"/>
      </w:rPr>
      <w:fldChar w:fldCharType="end"/>
    </w:r>
    <w:r>
      <w:rPr>
        <w:rFonts w:hint="eastAsia" w:ascii="宋体" w:hAnsi="宋体"/>
        <w:sz w:val="30"/>
        <w:szCs w:val="3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30"/>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lang w:eastAsia="zh-CN"/>
                            </w:rPr>
                          </w:pPr>
                          <w:r>
                            <w:rPr>
                              <w:rFonts w:hint="eastAsia"/>
                              <w:sz w:val="28"/>
                              <w:szCs w:val="28"/>
                              <w:lang w:eastAsia="zh-CN"/>
                            </w:rPr>
                            <w:t>—</w:t>
                          </w:r>
                          <w:r>
                            <w:rPr>
                              <w:rFonts w:hint="eastAsia"/>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MtJlXRAQAAogMAAA4AAAAAAAAAAQAgAAAAHgEAAGRy&#10;cy9lMm9Eb2MueG1sUEsFBgAAAAAGAAYAWQEAAGEFAAAAAA==&#10;">
              <v:fill on="f" focussize="0,0"/>
              <v:stroke on="f"/>
              <v:imagedata o:title=""/>
              <o:lock v:ext="edit" aspectratio="f"/>
              <v:textbox inset="0mm,0mm,0mm,0mm" style="mso-fit-shape-to-text:t;">
                <w:txbxContent>
                  <w:p>
                    <w:pPr>
                      <w:pStyle w:val="2"/>
                      <w:rPr>
                        <w:rFonts w:hint="eastAsia"/>
                        <w:lang w:eastAsia="zh-CN"/>
                      </w:rPr>
                    </w:pPr>
                    <w:r>
                      <w:rPr>
                        <w:rFonts w:hint="eastAsia"/>
                        <w:sz w:val="28"/>
                        <w:szCs w:val="28"/>
                        <w:lang w:eastAsia="zh-CN"/>
                      </w:rPr>
                      <w:t>—</w:t>
                    </w:r>
                    <w:r>
                      <w:rPr>
                        <w:rFonts w:hint="eastAsia"/>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rPr>
        <w:rFonts w:ascii="宋体" w:hAnsi="宋体"/>
        <w:sz w:val="30"/>
        <w:szCs w:val="30"/>
      </w:rPr>
    </w:pPr>
    <w:r>
      <w:rPr>
        <w:rFonts w:hint="eastAsia" w:ascii="宋体" w:hAnsi="宋体"/>
        <w:sz w:val="30"/>
        <w:szCs w:val="30"/>
      </w:rPr>
      <w:t xml:space="preserve">— </w:t>
    </w:r>
    <w:r>
      <w:rPr>
        <w:rFonts w:ascii="Times New Roman" w:hAnsi="Times New Roman"/>
        <w:sz w:val="30"/>
        <w:szCs w:val="30"/>
      </w:rPr>
      <w:fldChar w:fldCharType="begin"/>
    </w:r>
    <w:r>
      <w:rPr>
        <w:rFonts w:ascii="Times New Roman" w:hAnsi="Times New Roman"/>
        <w:sz w:val="30"/>
        <w:szCs w:val="30"/>
      </w:rPr>
      <w:instrText xml:space="preserve"> PAGE   \* MERGEFORMAT </w:instrText>
    </w:r>
    <w:r>
      <w:rPr>
        <w:rFonts w:ascii="Times New Roman" w:hAnsi="Times New Roman"/>
        <w:sz w:val="30"/>
        <w:szCs w:val="30"/>
      </w:rPr>
      <w:fldChar w:fldCharType="separate"/>
    </w:r>
    <w:r>
      <w:rPr>
        <w:rFonts w:ascii="Times New Roman" w:hAnsi="Times New Roman"/>
        <w:sz w:val="30"/>
        <w:szCs w:val="30"/>
        <w:lang w:val="zh-CN"/>
      </w:rPr>
      <w:t>6</w:t>
    </w:r>
    <w:r>
      <w:rPr>
        <w:rFonts w:ascii="Times New Roman" w:hAnsi="Times New Roman"/>
        <w:sz w:val="30"/>
        <w:szCs w:val="30"/>
      </w:rPr>
      <w:fldChar w:fldCharType="end"/>
    </w:r>
    <w:r>
      <w:rPr>
        <w:rFonts w:hint="eastAsia" w:ascii="宋体" w:hAnsi="宋体"/>
        <w:sz w:val="30"/>
        <w:szCs w:val="3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24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2021-03-04T00:26:33Z</dcterms:created>
  <dc:creator>Administrator</dc:creator>
  <cp:lastModifiedBy>闻钟祈福</cp:lastModifiedBy>
  <dcterms:modified xsi:type="dcterms:W3CDTF">2021-03-04T00:27:47Z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313995789_cloud</vt:lpwstr>
  </property>
</Properties>
</file>