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color w:val="000000"/>
          <w:kern w:val="0"/>
          <w:sz w:val="44"/>
          <w:szCs w:val="44"/>
          <w:lang w:eastAsia="zh-Hans"/>
        </w:rPr>
      </w:pPr>
      <w:r>
        <w:rPr>
          <w:rFonts w:hint="eastAsia" w:ascii="黑体" w:hAnsi="黑体" w:eastAsia="黑体" w:cs="黑体"/>
          <w:color w:val="000000"/>
          <w:kern w:val="0"/>
          <w:sz w:val="44"/>
          <w:szCs w:val="44"/>
          <w:lang w:eastAsia="zh-Hans"/>
        </w:rPr>
        <w:t>2021年苏州市医疗保障局法治政府建设工作要点分工表</w:t>
      </w:r>
    </w:p>
    <w:p>
      <w:pPr>
        <w:pStyle w:val="2"/>
        <w:rPr>
          <w:rFonts w:hint="eastAsia" w:ascii="楷体_GB2312" w:hAnsi="楷体_GB2312" w:eastAsia="楷体_GB2312" w:cs="楷体_GB2312"/>
          <w:color w:val="000000"/>
          <w:kern w:val="0"/>
          <w:sz w:val="28"/>
          <w:szCs w:val="28"/>
          <w:lang w:val="en-US" w:eastAsia="zh-CN"/>
        </w:rPr>
      </w:pPr>
    </w:p>
    <w:p>
      <w:pPr>
        <w:pStyle w:val="2"/>
        <w:rPr>
          <w:lang w:eastAsia="zh-Hans"/>
        </w:rPr>
      </w:pPr>
    </w:p>
    <w:tbl>
      <w:tblPr>
        <w:tblStyle w:val="6"/>
        <w:tblW w:w="14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2357"/>
        <w:gridCol w:w="8563"/>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blHeader/>
        </w:trPr>
        <w:tc>
          <w:tcPr>
            <w:tcW w:w="1124" w:type="dxa"/>
            <w:vAlign w:val="center"/>
          </w:tcPr>
          <w:p>
            <w:pPr>
              <w:spacing w:line="400" w:lineRule="exact"/>
              <w:jc w:val="center"/>
              <w:rPr>
                <w:rFonts w:ascii="黑体" w:hAnsi="黑体" w:eastAsia="黑体" w:cs="黑体"/>
                <w:color w:val="000000"/>
                <w:kern w:val="0"/>
                <w:sz w:val="30"/>
                <w:szCs w:val="30"/>
                <w:lang w:eastAsia="zh-Hans"/>
              </w:rPr>
            </w:pPr>
            <w:r>
              <w:rPr>
                <w:rFonts w:hint="eastAsia" w:ascii="黑体" w:hAnsi="黑体" w:eastAsia="黑体" w:cs="黑体"/>
                <w:color w:val="000000"/>
                <w:kern w:val="0"/>
                <w:sz w:val="30"/>
                <w:szCs w:val="30"/>
                <w:lang w:eastAsia="zh-Hans"/>
              </w:rPr>
              <w:t>序号</w:t>
            </w:r>
          </w:p>
        </w:tc>
        <w:tc>
          <w:tcPr>
            <w:tcW w:w="2357" w:type="dxa"/>
            <w:vAlign w:val="center"/>
          </w:tcPr>
          <w:p>
            <w:pPr>
              <w:spacing w:line="400" w:lineRule="exact"/>
              <w:jc w:val="center"/>
              <w:rPr>
                <w:rFonts w:ascii="黑体" w:hAnsi="黑体" w:eastAsia="黑体" w:cs="黑体"/>
                <w:color w:val="000000"/>
                <w:kern w:val="0"/>
                <w:sz w:val="30"/>
                <w:szCs w:val="30"/>
                <w:lang w:eastAsia="zh-Hans"/>
              </w:rPr>
            </w:pPr>
            <w:r>
              <w:rPr>
                <w:rFonts w:hint="eastAsia" w:ascii="黑体" w:hAnsi="黑体" w:eastAsia="黑体" w:cs="黑体"/>
                <w:color w:val="000000"/>
                <w:kern w:val="0"/>
                <w:sz w:val="30"/>
                <w:szCs w:val="30"/>
                <w:lang w:eastAsia="zh-Hans"/>
              </w:rPr>
              <w:t>名称</w:t>
            </w:r>
          </w:p>
        </w:tc>
        <w:tc>
          <w:tcPr>
            <w:tcW w:w="8563" w:type="dxa"/>
          </w:tcPr>
          <w:p>
            <w:pPr>
              <w:spacing w:line="400" w:lineRule="exact"/>
              <w:jc w:val="center"/>
              <w:rPr>
                <w:rFonts w:ascii="黑体" w:hAnsi="黑体" w:eastAsia="黑体" w:cs="黑体"/>
                <w:color w:val="000000"/>
                <w:kern w:val="0"/>
                <w:sz w:val="30"/>
                <w:szCs w:val="30"/>
                <w:lang w:eastAsia="zh-Hans"/>
              </w:rPr>
            </w:pPr>
            <w:r>
              <w:rPr>
                <w:rFonts w:hint="eastAsia" w:ascii="黑体" w:hAnsi="黑体" w:eastAsia="黑体" w:cs="黑体"/>
                <w:color w:val="000000"/>
                <w:kern w:val="0"/>
                <w:sz w:val="30"/>
                <w:szCs w:val="30"/>
                <w:lang w:eastAsia="zh-Hans"/>
              </w:rPr>
              <w:t>工作任务</w:t>
            </w:r>
          </w:p>
        </w:tc>
        <w:tc>
          <w:tcPr>
            <w:tcW w:w="2119" w:type="dxa"/>
          </w:tcPr>
          <w:p>
            <w:pPr>
              <w:spacing w:line="400" w:lineRule="exact"/>
              <w:jc w:val="left"/>
              <w:rPr>
                <w:rFonts w:hint="eastAsia" w:ascii="黑体" w:hAnsi="黑体" w:eastAsia="黑体" w:cs="黑体"/>
                <w:color w:val="000000"/>
                <w:kern w:val="0"/>
                <w:sz w:val="30"/>
                <w:szCs w:val="30"/>
                <w:lang w:eastAsia="zh-CN"/>
              </w:rPr>
            </w:pPr>
            <w:r>
              <w:rPr>
                <w:rFonts w:hint="eastAsia" w:ascii="黑体" w:hAnsi="黑体" w:eastAsia="黑体" w:cs="黑体"/>
                <w:color w:val="000000"/>
                <w:kern w:val="0"/>
                <w:sz w:val="30"/>
                <w:szCs w:val="30"/>
                <w:lang w:val="en-US" w:eastAsia="zh-CN"/>
              </w:rPr>
              <w:t>主要责任部门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4163" w:type="dxa"/>
            <w:gridSpan w:val="4"/>
            <w:vAlign w:val="center"/>
          </w:tcPr>
          <w:p>
            <w:pPr>
              <w:spacing w:line="400" w:lineRule="exact"/>
              <w:jc w:val="left"/>
              <w:rPr>
                <w:rFonts w:ascii="黑体" w:hAnsi="黑体" w:eastAsia="黑体" w:cs="黑体"/>
                <w:color w:val="000000"/>
                <w:kern w:val="0"/>
                <w:sz w:val="30"/>
                <w:szCs w:val="30"/>
                <w:lang w:eastAsia="zh-Hans"/>
              </w:rPr>
            </w:pPr>
            <w:r>
              <w:rPr>
                <w:rFonts w:hint="eastAsia" w:ascii="黑体" w:hAnsi="黑体" w:eastAsia="黑体" w:cs="黑体"/>
                <w:color w:val="000000"/>
                <w:kern w:val="0"/>
                <w:sz w:val="30"/>
                <w:szCs w:val="30"/>
              </w:rPr>
              <w:t>一、深入推进“放管服”改革，提升医保公共服务水平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6" w:hRule="atLeast"/>
        </w:trPr>
        <w:tc>
          <w:tcPr>
            <w:tcW w:w="1124" w:type="dxa"/>
            <w:vMerge w:val="restart"/>
            <w:vAlign w:val="center"/>
          </w:tcPr>
          <w:p>
            <w:pPr>
              <w:spacing w:line="400" w:lineRule="exact"/>
              <w:jc w:val="center"/>
              <w:rPr>
                <w:rFonts w:asciiTheme="majorEastAsia" w:hAnsiTheme="majorEastAsia" w:eastAsiaTheme="majorEastAsia" w:cstheme="majorEastAsia"/>
                <w:color w:val="000000"/>
                <w:kern w:val="0"/>
                <w:sz w:val="30"/>
                <w:szCs w:val="30"/>
              </w:rPr>
            </w:pPr>
            <w:r>
              <w:rPr>
                <w:rFonts w:hint="eastAsia" w:asciiTheme="majorEastAsia" w:hAnsiTheme="majorEastAsia" w:eastAsiaTheme="majorEastAsia" w:cstheme="majorEastAsia"/>
                <w:color w:val="000000"/>
                <w:kern w:val="0"/>
                <w:sz w:val="30"/>
                <w:szCs w:val="30"/>
              </w:rPr>
              <w:t>1</w:t>
            </w:r>
          </w:p>
        </w:tc>
        <w:tc>
          <w:tcPr>
            <w:tcW w:w="2357" w:type="dxa"/>
            <w:vMerge w:val="restart"/>
            <w:vAlign w:val="center"/>
          </w:tcPr>
          <w:p>
            <w:pPr>
              <w:spacing w:line="400" w:lineRule="exact"/>
              <w:rPr>
                <w:rFonts w:asciiTheme="majorEastAsia" w:hAnsiTheme="majorEastAsia" w:eastAsiaTheme="majorEastAsia" w:cstheme="majorEastAsia"/>
                <w:color w:val="000000"/>
                <w:kern w:val="0"/>
                <w:sz w:val="30"/>
                <w:szCs w:val="30"/>
              </w:rPr>
            </w:pPr>
            <w:r>
              <w:rPr>
                <w:rFonts w:hint="eastAsia" w:asciiTheme="majorEastAsia" w:hAnsiTheme="majorEastAsia" w:eastAsiaTheme="majorEastAsia" w:cstheme="majorEastAsia"/>
                <w:color w:val="000000"/>
                <w:kern w:val="0"/>
                <w:sz w:val="30"/>
                <w:szCs w:val="30"/>
              </w:rPr>
              <w:t>系统梳理政务服务事项目录</w:t>
            </w:r>
          </w:p>
        </w:tc>
        <w:tc>
          <w:tcPr>
            <w:tcW w:w="8563" w:type="dxa"/>
          </w:tcPr>
          <w:p>
            <w:pPr>
              <w:spacing w:line="400" w:lineRule="exact"/>
              <w:jc w:val="left"/>
              <w:rPr>
                <w:rFonts w:asciiTheme="majorEastAsia" w:hAnsiTheme="majorEastAsia" w:eastAsiaTheme="majorEastAsia" w:cstheme="majorEastAsia"/>
                <w:color w:val="000000"/>
                <w:kern w:val="0"/>
                <w:sz w:val="30"/>
                <w:szCs w:val="30"/>
              </w:rPr>
            </w:pPr>
            <w:r>
              <w:rPr>
                <w:rFonts w:hint="eastAsia" w:asciiTheme="majorEastAsia" w:hAnsiTheme="majorEastAsia" w:eastAsiaTheme="majorEastAsia" w:cstheme="majorEastAsia"/>
                <w:color w:val="000000"/>
                <w:kern w:val="0"/>
                <w:sz w:val="30"/>
                <w:szCs w:val="30"/>
              </w:rPr>
              <w:t>按照市政府统一部署，进一步系统梳理医疗保障政务服务事项，逐项明确设定依据、实施机关、权力类别、受理条件、办理程序、办理时限等要素，清理没有法律、法规、规章依据的政务服务事项办理条件和环节，持续推动“减时间、减材料、减环节、减跑动”。</w:t>
            </w:r>
          </w:p>
        </w:tc>
        <w:tc>
          <w:tcPr>
            <w:tcW w:w="2119" w:type="dxa"/>
          </w:tcPr>
          <w:p>
            <w:pPr>
              <w:spacing w:line="400" w:lineRule="exact"/>
              <w:jc w:val="left"/>
              <w:rPr>
                <w:rFonts w:hint="default" w:asciiTheme="majorEastAsia" w:hAnsiTheme="majorEastAsia" w:eastAsiaTheme="majorEastAsia" w:cstheme="majorEastAsia"/>
                <w:color w:val="000000"/>
                <w:kern w:val="0"/>
                <w:sz w:val="30"/>
                <w:szCs w:val="30"/>
                <w:lang w:val="en-US" w:eastAsia="zh-CN"/>
              </w:rPr>
            </w:pPr>
            <w:r>
              <w:rPr>
                <w:rFonts w:hint="eastAsia" w:asciiTheme="majorEastAsia" w:hAnsiTheme="majorEastAsia" w:eastAsiaTheme="majorEastAsia" w:cstheme="majorEastAsia"/>
                <w:sz w:val="30"/>
                <w:szCs w:val="30"/>
                <w:lang w:val="en-US" w:eastAsia="zh-CN"/>
              </w:rPr>
              <w:t>办公室（法规）、</w:t>
            </w:r>
            <w:r>
              <w:rPr>
                <w:rFonts w:hint="eastAsia" w:asciiTheme="majorEastAsia" w:hAnsiTheme="majorEastAsia" w:eastAsiaTheme="majorEastAsia" w:cstheme="majorEastAsia"/>
                <w:color w:val="000000"/>
                <w:kern w:val="0"/>
                <w:sz w:val="30"/>
                <w:szCs w:val="30"/>
                <w:lang w:val="en-US" w:eastAsia="zh-CN"/>
              </w:rPr>
              <w:t>市医保中心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1124" w:type="dxa"/>
            <w:vMerge w:val="continue"/>
            <w:vAlign w:val="center"/>
          </w:tcPr>
          <w:p>
            <w:pPr>
              <w:spacing w:line="400" w:lineRule="exact"/>
              <w:jc w:val="center"/>
              <w:rPr>
                <w:rFonts w:asciiTheme="majorEastAsia" w:hAnsiTheme="majorEastAsia" w:eastAsiaTheme="majorEastAsia" w:cstheme="majorEastAsia"/>
                <w:color w:val="000000"/>
                <w:kern w:val="0"/>
                <w:sz w:val="30"/>
                <w:szCs w:val="30"/>
              </w:rPr>
            </w:pPr>
          </w:p>
        </w:tc>
        <w:tc>
          <w:tcPr>
            <w:tcW w:w="2357" w:type="dxa"/>
            <w:vMerge w:val="continue"/>
            <w:vAlign w:val="center"/>
          </w:tcPr>
          <w:p>
            <w:pPr>
              <w:spacing w:line="400" w:lineRule="exact"/>
              <w:rPr>
                <w:rFonts w:asciiTheme="majorEastAsia" w:hAnsiTheme="majorEastAsia" w:eastAsiaTheme="majorEastAsia" w:cstheme="majorEastAsia"/>
                <w:color w:val="000000"/>
                <w:kern w:val="0"/>
                <w:sz w:val="30"/>
                <w:szCs w:val="30"/>
              </w:rPr>
            </w:pPr>
          </w:p>
        </w:tc>
        <w:tc>
          <w:tcPr>
            <w:tcW w:w="8563" w:type="dxa"/>
          </w:tcPr>
          <w:p>
            <w:pPr>
              <w:spacing w:line="400" w:lineRule="exact"/>
              <w:jc w:val="left"/>
              <w:rPr>
                <w:rFonts w:asciiTheme="majorEastAsia" w:hAnsiTheme="majorEastAsia" w:eastAsiaTheme="majorEastAsia" w:cstheme="majorEastAsia"/>
                <w:color w:val="000000"/>
                <w:kern w:val="0"/>
                <w:sz w:val="30"/>
                <w:szCs w:val="30"/>
              </w:rPr>
            </w:pPr>
            <w:r>
              <w:rPr>
                <w:rFonts w:hint="eastAsia" w:asciiTheme="majorEastAsia" w:hAnsiTheme="majorEastAsia" w:eastAsiaTheme="majorEastAsia" w:cstheme="majorEastAsia"/>
                <w:color w:val="000000"/>
                <w:kern w:val="0"/>
                <w:sz w:val="30"/>
                <w:szCs w:val="30"/>
              </w:rPr>
              <w:t>全面推行证明事项告知承诺制，梳理明确实行告知承诺制的事项范围、适用对象、工作流程和监管措施。</w:t>
            </w:r>
          </w:p>
        </w:tc>
        <w:tc>
          <w:tcPr>
            <w:tcW w:w="2119" w:type="dxa"/>
          </w:tcPr>
          <w:p>
            <w:pPr>
              <w:spacing w:line="400" w:lineRule="exact"/>
              <w:jc w:val="left"/>
              <w:rPr>
                <w:rFonts w:hint="default" w:asciiTheme="majorEastAsia" w:hAnsiTheme="majorEastAsia" w:eastAsiaTheme="majorEastAsia" w:cstheme="majorEastAsia"/>
                <w:color w:val="000000"/>
                <w:kern w:val="0"/>
                <w:sz w:val="30"/>
                <w:szCs w:val="30"/>
                <w:lang w:val="en-US" w:eastAsia="zh-CN"/>
              </w:rPr>
            </w:pPr>
            <w:r>
              <w:rPr>
                <w:rFonts w:hint="eastAsia" w:asciiTheme="majorEastAsia" w:hAnsiTheme="majorEastAsia" w:eastAsiaTheme="majorEastAsia" w:cstheme="majorEastAsia"/>
                <w:color w:val="000000"/>
                <w:kern w:val="0"/>
                <w:sz w:val="30"/>
                <w:szCs w:val="30"/>
                <w:lang w:val="en-US" w:eastAsia="zh-CN"/>
              </w:rPr>
              <w:t>办公室（法规）、市医保中心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124" w:type="dxa"/>
            <w:vMerge w:val="continue"/>
            <w:vAlign w:val="center"/>
          </w:tcPr>
          <w:p>
            <w:pPr>
              <w:spacing w:line="400" w:lineRule="exact"/>
              <w:jc w:val="center"/>
              <w:rPr>
                <w:rFonts w:asciiTheme="majorEastAsia" w:hAnsiTheme="majorEastAsia" w:eastAsiaTheme="majorEastAsia" w:cstheme="majorEastAsia"/>
                <w:color w:val="000000"/>
                <w:kern w:val="0"/>
                <w:sz w:val="30"/>
                <w:szCs w:val="30"/>
              </w:rPr>
            </w:pPr>
          </w:p>
        </w:tc>
        <w:tc>
          <w:tcPr>
            <w:tcW w:w="2357" w:type="dxa"/>
            <w:vMerge w:val="continue"/>
            <w:vAlign w:val="center"/>
          </w:tcPr>
          <w:p>
            <w:pPr>
              <w:spacing w:line="400" w:lineRule="exact"/>
              <w:rPr>
                <w:rFonts w:asciiTheme="majorEastAsia" w:hAnsiTheme="majorEastAsia" w:eastAsiaTheme="majorEastAsia" w:cstheme="majorEastAsia"/>
                <w:color w:val="000000"/>
                <w:kern w:val="0"/>
                <w:sz w:val="30"/>
                <w:szCs w:val="30"/>
              </w:rPr>
            </w:pPr>
          </w:p>
        </w:tc>
        <w:tc>
          <w:tcPr>
            <w:tcW w:w="8563" w:type="dxa"/>
          </w:tcPr>
          <w:p>
            <w:pPr>
              <w:spacing w:line="400" w:lineRule="exact"/>
              <w:jc w:val="left"/>
              <w:rPr>
                <w:rFonts w:asciiTheme="majorEastAsia" w:hAnsiTheme="majorEastAsia" w:eastAsiaTheme="majorEastAsia" w:cstheme="majorEastAsia"/>
                <w:color w:val="000000"/>
                <w:kern w:val="0"/>
                <w:sz w:val="30"/>
                <w:szCs w:val="30"/>
              </w:rPr>
            </w:pPr>
            <w:r>
              <w:rPr>
                <w:rFonts w:hint="eastAsia" w:asciiTheme="majorEastAsia" w:hAnsiTheme="majorEastAsia" w:eastAsiaTheme="majorEastAsia" w:cstheme="majorEastAsia"/>
                <w:color w:val="000000"/>
                <w:kern w:val="0"/>
                <w:sz w:val="30"/>
                <w:szCs w:val="30"/>
              </w:rPr>
              <w:t>做好省级下放的医疗服务项目定价权力事项的落实和衔接。</w:t>
            </w:r>
          </w:p>
        </w:tc>
        <w:tc>
          <w:tcPr>
            <w:tcW w:w="2119" w:type="dxa"/>
          </w:tcPr>
          <w:p>
            <w:pPr>
              <w:spacing w:line="400" w:lineRule="exact"/>
              <w:jc w:val="left"/>
              <w:rPr>
                <w:rFonts w:hint="default" w:asciiTheme="majorEastAsia" w:hAnsiTheme="majorEastAsia" w:eastAsiaTheme="majorEastAsia" w:cstheme="majorEastAsia"/>
                <w:color w:val="000000"/>
                <w:kern w:val="0"/>
                <w:sz w:val="30"/>
                <w:szCs w:val="30"/>
                <w:lang w:val="en-US" w:eastAsia="zh-CN"/>
              </w:rPr>
            </w:pPr>
            <w:r>
              <w:rPr>
                <w:rFonts w:hint="eastAsia" w:asciiTheme="majorEastAsia" w:hAnsiTheme="majorEastAsia" w:eastAsiaTheme="majorEastAsia" w:cstheme="majorEastAsia"/>
                <w:color w:val="000000"/>
                <w:kern w:val="0"/>
                <w:sz w:val="30"/>
                <w:szCs w:val="30"/>
                <w:lang w:val="en-US" w:eastAsia="zh-CN"/>
              </w:rPr>
              <w:t>办公室（法规）、价采处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trPr>
        <w:tc>
          <w:tcPr>
            <w:tcW w:w="1124" w:type="dxa"/>
            <w:vMerge w:val="restart"/>
            <w:vAlign w:val="center"/>
          </w:tcPr>
          <w:p>
            <w:pPr>
              <w:spacing w:line="400" w:lineRule="exact"/>
              <w:jc w:val="center"/>
              <w:rPr>
                <w:rFonts w:asciiTheme="majorEastAsia" w:hAnsiTheme="majorEastAsia" w:eastAsiaTheme="majorEastAsia" w:cstheme="majorEastAsia"/>
                <w:color w:val="000000"/>
                <w:kern w:val="0"/>
                <w:sz w:val="30"/>
                <w:szCs w:val="30"/>
              </w:rPr>
            </w:pPr>
            <w:r>
              <w:rPr>
                <w:rFonts w:hint="eastAsia" w:asciiTheme="majorEastAsia" w:hAnsiTheme="majorEastAsia" w:eastAsiaTheme="majorEastAsia" w:cstheme="majorEastAsia"/>
                <w:color w:val="000000"/>
                <w:kern w:val="0"/>
                <w:sz w:val="30"/>
                <w:szCs w:val="30"/>
              </w:rPr>
              <w:t>2</w:t>
            </w:r>
          </w:p>
        </w:tc>
        <w:tc>
          <w:tcPr>
            <w:tcW w:w="2357" w:type="dxa"/>
            <w:vMerge w:val="restart"/>
            <w:vAlign w:val="center"/>
          </w:tcPr>
          <w:p>
            <w:pPr>
              <w:spacing w:line="400" w:lineRule="exact"/>
              <w:rPr>
                <w:rFonts w:asciiTheme="majorEastAsia" w:hAnsiTheme="majorEastAsia" w:eastAsiaTheme="majorEastAsia" w:cstheme="majorEastAsia"/>
                <w:color w:val="000000"/>
                <w:kern w:val="0"/>
                <w:sz w:val="30"/>
                <w:szCs w:val="30"/>
              </w:rPr>
            </w:pPr>
            <w:r>
              <w:rPr>
                <w:rFonts w:hint="eastAsia" w:asciiTheme="majorEastAsia" w:hAnsiTheme="majorEastAsia" w:eastAsiaTheme="majorEastAsia" w:cstheme="majorEastAsia"/>
                <w:color w:val="000000"/>
                <w:kern w:val="0"/>
                <w:sz w:val="30"/>
                <w:szCs w:val="30"/>
              </w:rPr>
              <w:t>持续优化医疗保障公共服务供给</w:t>
            </w:r>
          </w:p>
        </w:tc>
        <w:tc>
          <w:tcPr>
            <w:tcW w:w="8563" w:type="dxa"/>
          </w:tcPr>
          <w:p>
            <w:pPr>
              <w:spacing w:line="400" w:lineRule="exact"/>
              <w:jc w:val="left"/>
              <w:rPr>
                <w:rFonts w:asciiTheme="majorEastAsia" w:hAnsiTheme="majorEastAsia" w:eastAsiaTheme="majorEastAsia" w:cstheme="majorEastAsia"/>
                <w:color w:val="000000"/>
                <w:kern w:val="0"/>
                <w:sz w:val="30"/>
                <w:szCs w:val="30"/>
              </w:rPr>
            </w:pPr>
            <w:r>
              <w:rPr>
                <w:rFonts w:hint="eastAsia" w:asciiTheme="majorEastAsia" w:hAnsiTheme="majorEastAsia" w:eastAsiaTheme="majorEastAsia" w:cstheme="majorEastAsia"/>
                <w:color w:val="000000"/>
                <w:kern w:val="0"/>
                <w:sz w:val="30"/>
                <w:szCs w:val="30"/>
              </w:rPr>
              <w:t>加强医疗保障经办服务信息化建设，提升规范化、标准化、一体化水平，深入推进全市医保经办机构各项基础设施和服务标准的统一、规范设置，实现一站式服务、一窗式办理、一单式结算。</w:t>
            </w:r>
          </w:p>
        </w:tc>
        <w:tc>
          <w:tcPr>
            <w:tcW w:w="2119" w:type="dxa"/>
          </w:tcPr>
          <w:p>
            <w:pPr>
              <w:spacing w:line="400" w:lineRule="exact"/>
              <w:jc w:val="left"/>
              <w:rPr>
                <w:rFonts w:hint="default" w:asciiTheme="majorEastAsia" w:hAnsiTheme="majorEastAsia" w:eastAsiaTheme="majorEastAsia" w:cstheme="majorEastAsia"/>
                <w:color w:val="000000"/>
                <w:kern w:val="0"/>
                <w:sz w:val="30"/>
                <w:szCs w:val="30"/>
                <w:lang w:val="en-US" w:eastAsia="zh-CN"/>
              </w:rPr>
            </w:pPr>
            <w:r>
              <w:rPr>
                <w:rFonts w:hint="eastAsia" w:asciiTheme="majorEastAsia" w:hAnsiTheme="majorEastAsia" w:eastAsiaTheme="majorEastAsia" w:cstheme="majorEastAsia"/>
                <w:color w:val="000000"/>
                <w:kern w:val="0"/>
                <w:sz w:val="30"/>
                <w:szCs w:val="30"/>
                <w:lang w:val="en-US" w:eastAsia="zh-CN"/>
              </w:rPr>
              <w:t>市医保中心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124" w:type="dxa"/>
            <w:vMerge w:val="continue"/>
            <w:vAlign w:val="center"/>
          </w:tcPr>
          <w:p>
            <w:pPr>
              <w:spacing w:line="400" w:lineRule="exact"/>
              <w:jc w:val="center"/>
              <w:rPr>
                <w:rFonts w:asciiTheme="majorEastAsia" w:hAnsiTheme="majorEastAsia" w:eastAsiaTheme="majorEastAsia" w:cstheme="majorEastAsia"/>
                <w:color w:val="000000"/>
                <w:kern w:val="0"/>
                <w:sz w:val="30"/>
                <w:szCs w:val="30"/>
              </w:rPr>
            </w:pPr>
          </w:p>
        </w:tc>
        <w:tc>
          <w:tcPr>
            <w:tcW w:w="2357" w:type="dxa"/>
            <w:vMerge w:val="continue"/>
            <w:vAlign w:val="center"/>
          </w:tcPr>
          <w:p>
            <w:pPr>
              <w:spacing w:line="400" w:lineRule="exact"/>
              <w:rPr>
                <w:rFonts w:asciiTheme="majorEastAsia" w:hAnsiTheme="majorEastAsia" w:eastAsiaTheme="majorEastAsia" w:cstheme="majorEastAsia"/>
                <w:color w:val="000000"/>
                <w:kern w:val="0"/>
                <w:sz w:val="30"/>
                <w:szCs w:val="30"/>
              </w:rPr>
            </w:pPr>
          </w:p>
        </w:tc>
        <w:tc>
          <w:tcPr>
            <w:tcW w:w="8563" w:type="dxa"/>
          </w:tcPr>
          <w:p>
            <w:pPr>
              <w:spacing w:line="400" w:lineRule="exact"/>
              <w:jc w:val="left"/>
              <w:rPr>
                <w:rFonts w:asciiTheme="majorEastAsia" w:hAnsiTheme="majorEastAsia" w:eastAsiaTheme="majorEastAsia" w:cstheme="majorEastAsia"/>
                <w:color w:val="000000"/>
                <w:kern w:val="0"/>
                <w:sz w:val="30"/>
                <w:szCs w:val="30"/>
              </w:rPr>
            </w:pPr>
            <w:r>
              <w:rPr>
                <w:rFonts w:hint="eastAsia" w:asciiTheme="majorEastAsia" w:hAnsiTheme="majorEastAsia" w:eastAsiaTheme="majorEastAsia" w:cstheme="majorEastAsia"/>
                <w:color w:val="000000"/>
                <w:kern w:val="0"/>
                <w:sz w:val="30"/>
                <w:szCs w:val="30"/>
              </w:rPr>
              <w:t>加快实现大市范围就医“零手续”“一卡通”。</w:t>
            </w:r>
          </w:p>
        </w:tc>
        <w:tc>
          <w:tcPr>
            <w:tcW w:w="2119" w:type="dxa"/>
          </w:tcPr>
          <w:p>
            <w:pPr>
              <w:spacing w:line="400" w:lineRule="exact"/>
              <w:jc w:val="left"/>
              <w:rPr>
                <w:rFonts w:hint="default" w:asciiTheme="majorEastAsia" w:hAnsiTheme="majorEastAsia" w:eastAsiaTheme="majorEastAsia" w:cstheme="majorEastAsia"/>
                <w:color w:val="000000"/>
                <w:kern w:val="0"/>
                <w:sz w:val="30"/>
                <w:szCs w:val="30"/>
                <w:lang w:val="en-US" w:eastAsia="zh-CN"/>
              </w:rPr>
            </w:pPr>
            <w:r>
              <w:rPr>
                <w:rFonts w:hint="eastAsia" w:asciiTheme="majorEastAsia" w:hAnsiTheme="majorEastAsia" w:eastAsiaTheme="majorEastAsia" w:cstheme="majorEastAsia"/>
                <w:color w:val="000000"/>
                <w:kern w:val="0"/>
                <w:sz w:val="30"/>
                <w:szCs w:val="30"/>
                <w:lang w:val="en-US" w:eastAsia="zh-CN"/>
              </w:rPr>
              <w:t>待遇处、信息处、市医保中心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124" w:type="dxa"/>
            <w:vMerge w:val="continue"/>
            <w:vAlign w:val="center"/>
          </w:tcPr>
          <w:p>
            <w:pPr>
              <w:spacing w:line="400" w:lineRule="exact"/>
              <w:jc w:val="center"/>
              <w:rPr>
                <w:rFonts w:asciiTheme="majorEastAsia" w:hAnsiTheme="majorEastAsia" w:eastAsiaTheme="majorEastAsia" w:cstheme="majorEastAsia"/>
                <w:color w:val="000000"/>
                <w:kern w:val="0"/>
                <w:sz w:val="30"/>
                <w:szCs w:val="30"/>
              </w:rPr>
            </w:pPr>
          </w:p>
        </w:tc>
        <w:tc>
          <w:tcPr>
            <w:tcW w:w="2357" w:type="dxa"/>
            <w:vMerge w:val="continue"/>
            <w:vAlign w:val="center"/>
          </w:tcPr>
          <w:p>
            <w:pPr>
              <w:spacing w:line="400" w:lineRule="exact"/>
              <w:rPr>
                <w:rFonts w:asciiTheme="majorEastAsia" w:hAnsiTheme="majorEastAsia" w:eastAsiaTheme="majorEastAsia" w:cstheme="majorEastAsia"/>
                <w:color w:val="000000"/>
                <w:kern w:val="0"/>
                <w:sz w:val="30"/>
                <w:szCs w:val="30"/>
              </w:rPr>
            </w:pPr>
          </w:p>
        </w:tc>
        <w:tc>
          <w:tcPr>
            <w:tcW w:w="8563" w:type="dxa"/>
          </w:tcPr>
          <w:p>
            <w:pPr>
              <w:spacing w:line="400" w:lineRule="exact"/>
              <w:jc w:val="left"/>
              <w:rPr>
                <w:rFonts w:asciiTheme="majorEastAsia" w:hAnsiTheme="majorEastAsia" w:eastAsiaTheme="majorEastAsia" w:cstheme="majorEastAsia"/>
                <w:color w:val="000000"/>
                <w:kern w:val="0"/>
                <w:sz w:val="30"/>
                <w:szCs w:val="30"/>
              </w:rPr>
            </w:pPr>
            <w:r>
              <w:rPr>
                <w:rFonts w:hint="eastAsia" w:asciiTheme="majorEastAsia" w:hAnsiTheme="majorEastAsia" w:eastAsiaTheme="majorEastAsia" w:cstheme="majorEastAsia"/>
                <w:color w:val="000000"/>
                <w:kern w:val="0"/>
                <w:sz w:val="30"/>
                <w:szCs w:val="30"/>
              </w:rPr>
              <w:t>大力推广医保电子凭证应用，方便群众就医购药。</w:t>
            </w:r>
          </w:p>
        </w:tc>
        <w:tc>
          <w:tcPr>
            <w:tcW w:w="2119" w:type="dxa"/>
          </w:tcPr>
          <w:p>
            <w:pPr>
              <w:spacing w:line="400" w:lineRule="exact"/>
              <w:jc w:val="left"/>
              <w:rPr>
                <w:rFonts w:hint="default" w:asciiTheme="majorEastAsia" w:hAnsiTheme="majorEastAsia" w:eastAsiaTheme="majorEastAsia" w:cstheme="majorEastAsia"/>
                <w:color w:val="000000"/>
                <w:kern w:val="0"/>
                <w:sz w:val="30"/>
                <w:szCs w:val="30"/>
                <w:lang w:val="en-US"/>
              </w:rPr>
            </w:pPr>
            <w:r>
              <w:rPr>
                <w:rFonts w:hint="eastAsia" w:asciiTheme="majorEastAsia" w:hAnsiTheme="majorEastAsia" w:eastAsiaTheme="majorEastAsia" w:cstheme="majorEastAsia"/>
                <w:color w:val="000000"/>
                <w:kern w:val="0"/>
                <w:sz w:val="30"/>
                <w:szCs w:val="30"/>
                <w:lang w:val="en-US" w:eastAsia="zh-CN"/>
              </w:rPr>
              <w:t>信息处、市医保中心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7" w:hRule="atLeast"/>
        </w:trPr>
        <w:tc>
          <w:tcPr>
            <w:tcW w:w="1124" w:type="dxa"/>
            <w:vMerge w:val="continue"/>
            <w:vAlign w:val="center"/>
          </w:tcPr>
          <w:p>
            <w:pPr>
              <w:spacing w:line="400" w:lineRule="exact"/>
              <w:jc w:val="center"/>
              <w:rPr>
                <w:rFonts w:asciiTheme="majorEastAsia" w:hAnsiTheme="majorEastAsia" w:eastAsiaTheme="majorEastAsia" w:cstheme="majorEastAsia"/>
                <w:color w:val="000000"/>
                <w:kern w:val="0"/>
                <w:sz w:val="30"/>
                <w:szCs w:val="30"/>
              </w:rPr>
            </w:pPr>
          </w:p>
        </w:tc>
        <w:tc>
          <w:tcPr>
            <w:tcW w:w="2357" w:type="dxa"/>
            <w:vMerge w:val="continue"/>
            <w:vAlign w:val="center"/>
          </w:tcPr>
          <w:p>
            <w:pPr>
              <w:spacing w:line="400" w:lineRule="exact"/>
              <w:rPr>
                <w:rFonts w:asciiTheme="majorEastAsia" w:hAnsiTheme="majorEastAsia" w:eastAsiaTheme="majorEastAsia" w:cstheme="majorEastAsia"/>
                <w:color w:val="000000"/>
                <w:kern w:val="0"/>
                <w:sz w:val="30"/>
                <w:szCs w:val="30"/>
              </w:rPr>
            </w:pPr>
          </w:p>
        </w:tc>
        <w:tc>
          <w:tcPr>
            <w:tcW w:w="8563" w:type="dxa"/>
          </w:tcPr>
          <w:p>
            <w:pPr>
              <w:spacing w:line="400" w:lineRule="exact"/>
              <w:jc w:val="left"/>
              <w:rPr>
                <w:rFonts w:asciiTheme="majorEastAsia" w:hAnsiTheme="majorEastAsia" w:eastAsiaTheme="majorEastAsia" w:cstheme="majorEastAsia"/>
                <w:color w:val="000000"/>
                <w:kern w:val="0"/>
                <w:sz w:val="30"/>
                <w:szCs w:val="30"/>
              </w:rPr>
            </w:pPr>
            <w:r>
              <w:rPr>
                <w:rFonts w:hint="eastAsia" w:asciiTheme="majorEastAsia" w:hAnsiTheme="majorEastAsia" w:eastAsiaTheme="majorEastAsia" w:cstheme="majorEastAsia"/>
                <w:color w:val="000000"/>
                <w:kern w:val="0"/>
                <w:sz w:val="30"/>
                <w:szCs w:val="30"/>
              </w:rPr>
              <w:t>清理与医保管理无关的申请条件，缩短办理时限，优化评估流程，将更多符合条件的医药机构纳入定点管理。</w:t>
            </w:r>
          </w:p>
        </w:tc>
        <w:tc>
          <w:tcPr>
            <w:tcW w:w="2119" w:type="dxa"/>
          </w:tcPr>
          <w:p>
            <w:pPr>
              <w:spacing w:line="400" w:lineRule="exact"/>
              <w:jc w:val="left"/>
              <w:rPr>
                <w:rFonts w:hint="default" w:asciiTheme="majorEastAsia" w:hAnsiTheme="majorEastAsia" w:eastAsiaTheme="majorEastAsia" w:cstheme="majorEastAsia"/>
                <w:color w:val="000000"/>
                <w:kern w:val="0"/>
                <w:sz w:val="30"/>
                <w:szCs w:val="30"/>
                <w:lang w:val="en-US" w:eastAsia="zh-CN"/>
              </w:rPr>
            </w:pPr>
            <w:r>
              <w:rPr>
                <w:rFonts w:hint="eastAsia" w:asciiTheme="majorEastAsia" w:hAnsiTheme="majorEastAsia" w:eastAsiaTheme="majorEastAsia" w:cstheme="majorEastAsia"/>
                <w:color w:val="000000"/>
                <w:kern w:val="0"/>
                <w:sz w:val="30"/>
                <w:szCs w:val="30"/>
                <w:lang w:val="en-US" w:eastAsia="zh-CN"/>
              </w:rPr>
              <w:t>待遇处、市医保中心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trPr>
        <w:tc>
          <w:tcPr>
            <w:tcW w:w="1124" w:type="dxa"/>
            <w:vMerge w:val="continue"/>
            <w:vAlign w:val="center"/>
          </w:tcPr>
          <w:p>
            <w:pPr>
              <w:spacing w:line="400" w:lineRule="exact"/>
              <w:jc w:val="center"/>
              <w:rPr>
                <w:rFonts w:asciiTheme="majorEastAsia" w:hAnsiTheme="majorEastAsia" w:eastAsiaTheme="majorEastAsia" w:cstheme="majorEastAsia"/>
                <w:color w:val="000000"/>
                <w:kern w:val="0"/>
                <w:sz w:val="30"/>
                <w:szCs w:val="30"/>
              </w:rPr>
            </w:pPr>
          </w:p>
        </w:tc>
        <w:tc>
          <w:tcPr>
            <w:tcW w:w="2357" w:type="dxa"/>
            <w:vMerge w:val="continue"/>
            <w:vAlign w:val="center"/>
          </w:tcPr>
          <w:p>
            <w:pPr>
              <w:spacing w:line="400" w:lineRule="exact"/>
              <w:rPr>
                <w:rFonts w:asciiTheme="majorEastAsia" w:hAnsiTheme="majorEastAsia" w:eastAsiaTheme="majorEastAsia" w:cstheme="majorEastAsia"/>
                <w:color w:val="000000"/>
                <w:kern w:val="0"/>
                <w:sz w:val="30"/>
                <w:szCs w:val="30"/>
              </w:rPr>
            </w:pPr>
          </w:p>
        </w:tc>
        <w:tc>
          <w:tcPr>
            <w:tcW w:w="8563" w:type="dxa"/>
          </w:tcPr>
          <w:p>
            <w:pPr>
              <w:spacing w:line="400" w:lineRule="exact"/>
              <w:jc w:val="left"/>
              <w:rPr>
                <w:rFonts w:asciiTheme="majorEastAsia" w:hAnsiTheme="majorEastAsia" w:eastAsiaTheme="majorEastAsia" w:cstheme="majorEastAsia"/>
                <w:color w:val="000000"/>
                <w:kern w:val="0"/>
                <w:sz w:val="30"/>
                <w:szCs w:val="30"/>
              </w:rPr>
            </w:pPr>
            <w:r>
              <w:rPr>
                <w:rFonts w:hint="eastAsia" w:asciiTheme="majorEastAsia" w:hAnsiTheme="majorEastAsia" w:eastAsiaTheme="majorEastAsia" w:cstheme="majorEastAsia"/>
                <w:color w:val="000000"/>
                <w:kern w:val="0"/>
                <w:sz w:val="30"/>
                <w:szCs w:val="30"/>
              </w:rPr>
              <w:t>推进高频政务服务事项“省内通办”“跨省通办”，按照国家统一部署，2021 年年底前实现异地就医结算备案、基本医疗保险关系转移接续、门诊费用跨省直接结算等6项事项的跨省通办。</w:t>
            </w:r>
          </w:p>
        </w:tc>
        <w:tc>
          <w:tcPr>
            <w:tcW w:w="2119" w:type="dxa"/>
          </w:tcPr>
          <w:p>
            <w:pPr>
              <w:spacing w:line="400" w:lineRule="exact"/>
              <w:jc w:val="left"/>
              <w:rPr>
                <w:rFonts w:hint="default" w:asciiTheme="majorEastAsia" w:hAnsiTheme="majorEastAsia" w:eastAsiaTheme="majorEastAsia" w:cstheme="majorEastAsia"/>
                <w:color w:val="000000"/>
                <w:kern w:val="0"/>
                <w:sz w:val="30"/>
                <w:szCs w:val="30"/>
                <w:lang w:val="en-US" w:eastAsia="zh-CN"/>
              </w:rPr>
            </w:pPr>
            <w:r>
              <w:rPr>
                <w:rFonts w:hint="eastAsia" w:asciiTheme="majorEastAsia" w:hAnsiTheme="majorEastAsia" w:eastAsiaTheme="majorEastAsia" w:cstheme="majorEastAsia"/>
                <w:color w:val="000000"/>
                <w:kern w:val="0"/>
                <w:sz w:val="30"/>
                <w:szCs w:val="30"/>
                <w:lang w:val="en-US" w:eastAsia="zh-CN"/>
              </w:rPr>
              <w:t>市医保中心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8" w:hRule="atLeast"/>
        </w:trPr>
        <w:tc>
          <w:tcPr>
            <w:tcW w:w="1124" w:type="dxa"/>
            <w:vMerge w:val="continue"/>
            <w:vAlign w:val="center"/>
          </w:tcPr>
          <w:p>
            <w:pPr>
              <w:spacing w:line="400" w:lineRule="exact"/>
              <w:jc w:val="center"/>
              <w:rPr>
                <w:rFonts w:asciiTheme="majorEastAsia" w:hAnsiTheme="majorEastAsia" w:eastAsiaTheme="majorEastAsia" w:cstheme="majorEastAsia"/>
                <w:color w:val="000000"/>
                <w:kern w:val="0"/>
                <w:sz w:val="30"/>
                <w:szCs w:val="30"/>
              </w:rPr>
            </w:pPr>
          </w:p>
        </w:tc>
        <w:tc>
          <w:tcPr>
            <w:tcW w:w="2357" w:type="dxa"/>
            <w:vMerge w:val="continue"/>
            <w:vAlign w:val="center"/>
          </w:tcPr>
          <w:p>
            <w:pPr>
              <w:spacing w:line="400" w:lineRule="exact"/>
              <w:rPr>
                <w:rFonts w:asciiTheme="majorEastAsia" w:hAnsiTheme="majorEastAsia" w:eastAsiaTheme="majorEastAsia" w:cstheme="majorEastAsia"/>
                <w:color w:val="000000"/>
                <w:kern w:val="0"/>
                <w:sz w:val="30"/>
                <w:szCs w:val="30"/>
              </w:rPr>
            </w:pPr>
          </w:p>
        </w:tc>
        <w:tc>
          <w:tcPr>
            <w:tcW w:w="8563" w:type="dxa"/>
          </w:tcPr>
          <w:p>
            <w:pPr>
              <w:spacing w:line="400" w:lineRule="exact"/>
              <w:jc w:val="left"/>
              <w:rPr>
                <w:rFonts w:asciiTheme="majorEastAsia" w:hAnsiTheme="majorEastAsia" w:eastAsiaTheme="majorEastAsia" w:cstheme="majorEastAsia"/>
                <w:color w:val="000000"/>
                <w:kern w:val="0"/>
                <w:sz w:val="30"/>
                <w:szCs w:val="30"/>
              </w:rPr>
            </w:pPr>
            <w:r>
              <w:rPr>
                <w:rFonts w:hint="eastAsia" w:asciiTheme="majorEastAsia" w:hAnsiTheme="majorEastAsia" w:eastAsiaTheme="majorEastAsia" w:cstheme="majorEastAsia"/>
                <w:color w:val="000000"/>
                <w:kern w:val="0"/>
                <w:sz w:val="30"/>
                <w:szCs w:val="30"/>
              </w:rPr>
              <w:t>纵深推进异地就医直接结算工作，在实现长三角地区高水平的门诊直接结算基础上，有序落实好与“京津冀”和“西南五省片区”异地门诊互联互通工作，逐步实现跨省异地就医门诊直接结算在全国范围内联通无阻碍。</w:t>
            </w:r>
          </w:p>
        </w:tc>
        <w:tc>
          <w:tcPr>
            <w:tcW w:w="2119" w:type="dxa"/>
          </w:tcPr>
          <w:p>
            <w:pPr>
              <w:spacing w:line="400" w:lineRule="exact"/>
              <w:jc w:val="left"/>
              <w:rPr>
                <w:rFonts w:hint="default" w:asciiTheme="majorEastAsia" w:hAnsiTheme="majorEastAsia" w:eastAsiaTheme="majorEastAsia" w:cstheme="majorEastAsia"/>
                <w:color w:val="000000"/>
                <w:kern w:val="0"/>
                <w:sz w:val="30"/>
                <w:szCs w:val="30"/>
                <w:lang w:val="en-US" w:eastAsia="zh-CN"/>
              </w:rPr>
            </w:pPr>
            <w:r>
              <w:rPr>
                <w:rFonts w:hint="eastAsia" w:asciiTheme="majorEastAsia" w:hAnsiTheme="majorEastAsia" w:eastAsiaTheme="majorEastAsia" w:cstheme="majorEastAsia"/>
                <w:color w:val="000000"/>
                <w:kern w:val="0"/>
                <w:sz w:val="30"/>
                <w:szCs w:val="30"/>
                <w:lang w:val="en-US" w:eastAsia="zh-CN"/>
              </w:rPr>
              <w:t>市医保中心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5" w:hRule="atLeast"/>
        </w:trPr>
        <w:tc>
          <w:tcPr>
            <w:tcW w:w="1124" w:type="dxa"/>
            <w:vAlign w:val="center"/>
          </w:tcPr>
          <w:p>
            <w:pPr>
              <w:spacing w:line="400" w:lineRule="exact"/>
              <w:jc w:val="center"/>
              <w:rPr>
                <w:rFonts w:asciiTheme="majorEastAsia" w:hAnsiTheme="majorEastAsia" w:eastAsiaTheme="majorEastAsia" w:cstheme="majorEastAsia"/>
                <w:color w:val="000000"/>
                <w:kern w:val="0"/>
                <w:sz w:val="30"/>
                <w:szCs w:val="30"/>
              </w:rPr>
            </w:pPr>
            <w:r>
              <w:rPr>
                <w:rFonts w:hint="eastAsia" w:asciiTheme="majorEastAsia" w:hAnsiTheme="majorEastAsia" w:eastAsiaTheme="majorEastAsia" w:cstheme="majorEastAsia"/>
                <w:color w:val="000000"/>
                <w:kern w:val="0"/>
                <w:sz w:val="30"/>
                <w:szCs w:val="30"/>
              </w:rPr>
              <w:t>3</w:t>
            </w:r>
          </w:p>
        </w:tc>
        <w:tc>
          <w:tcPr>
            <w:tcW w:w="2357" w:type="dxa"/>
            <w:vAlign w:val="center"/>
          </w:tcPr>
          <w:p>
            <w:pPr>
              <w:spacing w:line="400" w:lineRule="exact"/>
              <w:rPr>
                <w:rFonts w:asciiTheme="majorEastAsia" w:hAnsiTheme="majorEastAsia" w:eastAsiaTheme="majorEastAsia" w:cstheme="majorEastAsia"/>
                <w:color w:val="000000"/>
                <w:kern w:val="0"/>
                <w:sz w:val="30"/>
                <w:szCs w:val="30"/>
              </w:rPr>
            </w:pPr>
            <w:r>
              <w:rPr>
                <w:rFonts w:hint="eastAsia" w:asciiTheme="majorEastAsia" w:hAnsiTheme="majorEastAsia" w:eastAsiaTheme="majorEastAsia" w:cstheme="majorEastAsia"/>
                <w:color w:val="000000"/>
                <w:kern w:val="0"/>
                <w:sz w:val="30"/>
                <w:szCs w:val="30"/>
              </w:rPr>
              <w:t>推进落实民生“一件事”工作任务</w:t>
            </w:r>
          </w:p>
        </w:tc>
        <w:tc>
          <w:tcPr>
            <w:tcW w:w="8563" w:type="dxa"/>
          </w:tcPr>
          <w:p>
            <w:pPr>
              <w:spacing w:line="400" w:lineRule="exact"/>
              <w:rPr>
                <w:rFonts w:asciiTheme="majorEastAsia" w:hAnsiTheme="majorEastAsia" w:eastAsiaTheme="majorEastAsia" w:cstheme="majorEastAsia"/>
                <w:color w:val="000000"/>
                <w:kern w:val="0"/>
                <w:sz w:val="30"/>
                <w:szCs w:val="30"/>
              </w:rPr>
            </w:pPr>
            <w:r>
              <w:rPr>
                <w:rFonts w:hint="eastAsia" w:asciiTheme="majorEastAsia" w:hAnsiTheme="majorEastAsia" w:eastAsiaTheme="majorEastAsia" w:cstheme="majorEastAsia"/>
                <w:color w:val="000000"/>
                <w:kern w:val="0"/>
                <w:sz w:val="30"/>
                <w:szCs w:val="30"/>
              </w:rPr>
              <w:t>落实市政府“一网通办”和“一件事”工作要求，做好医疗保障部门牵头的“大市异地就医一件事”“生育保险待遇结算一件事”，配合有关部门做好“出生”、“身故”、“入学”、“退休”等“一件事”，实现有关事项“一表申请、一套材料、一次提交、限时办结”。</w:t>
            </w:r>
          </w:p>
        </w:tc>
        <w:tc>
          <w:tcPr>
            <w:tcW w:w="2119" w:type="dxa"/>
          </w:tcPr>
          <w:p>
            <w:pPr>
              <w:spacing w:line="400" w:lineRule="exact"/>
              <w:jc w:val="left"/>
              <w:rPr>
                <w:rFonts w:hint="default" w:asciiTheme="majorEastAsia" w:hAnsiTheme="majorEastAsia" w:eastAsiaTheme="majorEastAsia" w:cstheme="majorEastAsia"/>
                <w:color w:val="000000"/>
                <w:kern w:val="0"/>
                <w:sz w:val="30"/>
                <w:szCs w:val="30"/>
                <w:lang w:val="en-US" w:eastAsia="zh-CN"/>
              </w:rPr>
            </w:pPr>
            <w:r>
              <w:rPr>
                <w:rFonts w:hint="eastAsia" w:asciiTheme="majorEastAsia" w:hAnsiTheme="majorEastAsia" w:eastAsiaTheme="majorEastAsia" w:cstheme="majorEastAsia"/>
                <w:color w:val="000000"/>
                <w:kern w:val="0"/>
                <w:sz w:val="30"/>
                <w:szCs w:val="30"/>
                <w:lang w:val="en-US" w:eastAsia="zh-CN"/>
              </w:rPr>
              <w:t>办公室（法规）、市医保中心、信息处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4163" w:type="dxa"/>
            <w:gridSpan w:val="4"/>
            <w:vAlign w:val="center"/>
          </w:tcPr>
          <w:p>
            <w:pPr>
              <w:spacing w:line="400" w:lineRule="exact"/>
              <w:jc w:val="left"/>
              <w:rPr>
                <w:rFonts w:asciiTheme="majorEastAsia" w:hAnsiTheme="majorEastAsia" w:eastAsiaTheme="majorEastAsia" w:cstheme="majorEastAsia"/>
                <w:color w:val="000000"/>
                <w:kern w:val="0"/>
                <w:sz w:val="30"/>
                <w:szCs w:val="30"/>
              </w:rPr>
            </w:pPr>
            <w:r>
              <w:rPr>
                <w:rFonts w:hint="eastAsia" w:ascii="黑体" w:hAnsi="黑体" w:eastAsia="黑体" w:cs="黑体"/>
                <w:color w:val="000000"/>
                <w:kern w:val="0"/>
                <w:sz w:val="30"/>
                <w:szCs w:val="30"/>
              </w:rPr>
              <w:t>二、加强制度规范化建设，完善法治政府建设制度体系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1124" w:type="dxa"/>
            <w:vMerge w:val="restart"/>
            <w:vAlign w:val="center"/>
          </w:tcPr>
          <w:p>
            <w:pPr>
              <w:spacing w:line="400" w:lineRule="exact"/>
              <w:ind w:firstLine="300" w:firstLineChars="100"/>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4</w:t>
            </w:r>
          </w:p>
        </w:tc>
        <w:tc>
          <w:tcPr>
            <w:tcW w:w="2357" w:type="dxa"/>
            <w:vMerge w:val="restart"/>
            <w:vAlign w:val="center"/>
          </w:tcPr>
          <w:p>
            <w:pPr>
              <w:spacing w:line="400" w:lineRule="exac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color w:val="000000"/>
                <w:kern w:val="0"/>
                <w:sz w:val="30"/>
                <w:szCs w:val="30"/>
              </w:rPr>
              <w:t>加强规范性文件管理</w:t>
            </w:r>
          </w:p>
        </w:tc>
        <w:tc>
          <w:tcPr>
            <w:tcW w:w="8563" w:type="dxa"/>
          </w:tcPr>
          <w:p>
            <w:pPr>
              <w:spacing w:line="400" w:lineRule="exac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color w:val="000000"/>
                <w:kern w:val="0"/>
                <w:sz w:val="30"/>
                <w:szCs w:val="30"/>
              </w:rPr>
              <w:t>严格规范性文件制发程序，将医疗保障领域调整行政相对人权利义务、具有普遍约束力、反复适用的政策文件纳入规范性文件管理，严格落实评估论证、征求意见、合法性审查、公开发布、同步解读等程序，做到应审必审，提高规范性文件质量。</w:t>
            </w:r>
          </w:p>
        </w:tc>
        <w:tc>
          <w:tcPr>
            <w:tcW w:w="2119" w:type="dxa"/>
          </w:tcPr>
          <w:p>
            <w:pPr>
              <w:spacing w:line="400" w:lineRule="exact"/>
              <w:jc w:val="left"/>
              <w:rPr>
                <w:rFonts w:hint="default"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color w:val="000000"/>
                <w:kern w:val="0"/>
                <w:sz w:val="30"/>
                <w:szCs w:val="30"/>
                <w:lang w:val="en-US" w:eastAsia="zh-CN"/>
              </w:rPr>
              <w:t>办公室（法规）、</w:t>
            </w:r>
            <w:r>
              <w:rPr>
                <w:rFonts w:hint="eastAsia" w:asciiTheme="majorEastAsia" w:hAnsiTheme="majorEastAsia" w:eastAsiaTheme="majorEastAsia" w:cstheme="majorEastAsia"/>
                <w:sz w:val="30"/>
                <w:szCs w:val="30"/>
                <w:lang w:val="en-US" w:eastAsia="zh-CN"/>
              </w:rPr>
              <w:t>各有关处室、分局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1124" w:type="dxa"/>
            <w:vMerge w:val="continue"/>
            <w:vAlign w:val="center"/>
          </w:tcPr>
          <w:p>
            <w:pPr>
              <w:spacing w:line="400" w:lineRule="exact"/>
              <w:ind w:firstLine="600" w:firstLineChars="200"/>
              <w:jc w:val="center"/>
              <w:rPr>
                <w:rFonts w:asciiTheme="majorEastAsia" w:hAnsiTheme="majorEastAsia" w:eastAsiaTheme="majorEastAsia" w:cstheme="majorEastAsia"/>
                <w:sz w:val="30"/>
                <w:szCs w:val="30"/>
              </w:rPr>
            </w:pPr>
          </w:p>
        </w:tc>
        <w:tc>
          <w:tcPr>
            <w:tcW w:w="2357" w:type="dxa"/>
            <w:vMerge w:val="continue"/>
            <w:vAlign w:val="center"/>
          </w:tcPr>
          <w:p>
            <w:pPr>
              <w:spacing w:line="400" w:lineRule="exact"/>
              <w:rPr>
                <w:rFonts w:asciiTheme="majorEastAsia" w:hAnsiTheme="majorEastAsia" w:eastAsiaTheme="majorEastAsia" w:cstheme="majorEastAsia"/>
                <w:color w:val="000000"/>
                <w:kern w:val="0"/>
                <w:sz w:val="30"/>
                <w:szCs w:val="30"/>
              </w:rPr>
            </w:pPr>
          </w:p>
        </w:tc>
        <w:tc>
          <w:tcPr>
            <w:tcW w:w="8563" w:type="dxa"/>
          </w:tcPr>
          <w:p>
            <w:pPr>
              <w:spacing w:line="400" w:lineRule="exact"/>
              <w:rPr>
                <w:rFonts w:asciiTheme="majorEastAsia" w:hAnsiTheme="majorEastAsia" w:eastAsiaTheme="majorEastAsia" w:cstheme="majorEastAsia"/>
                <w:color w:val="000000"/>
                <w:kern w:val="0"/>
                <w:sz w:val="30"/>
                <w:szCs w:val="30"/>
              </w:rPr>
            </w:pPr>
            <w:r>
              <w:rPr>
                <w:rFonts w:hint="eastAsia" w:asciiTheme="majorEastAsia" w:hAnsiTheme="majorEastAsia" w:eastAsiaTheme="majorEastAsia" w:cstheme="majorEastAsia"/>
                <w:sz w:val="30"/>
                <w:szCs w:val="30"/>
              </w:rPr>
              <w:t>开展《医疗保障政策法规简编》2021版修订工作，做好2020年度政策文件汇编。</w:t>
            </w:r>
          </w:p>
        </w:tc>
        <w:tc>
          <w:tcPr>
            <w:tcW w:w="2119" w:type="dxa"/>
          </w:tcPr>
          <w:p>
            <w:pPr>
              <w:spacing w:line="400" w:lineRule="exact"/>
              <w:jc w:val="left"/>
              <w:rPr>
                <w:rFonts w:hint="default"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color w:val="000000"/>
                <w:kern w:val="0"/>
                <w:sz w:val="30"/>
                <w:szCs w:val="30"/>
                <w:lang w:val="en-US" w:eastAsia="zh-CN"/>
              </w:rPr>
              <w:t>办公室（法规）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1" w:hRule="atLeast"/>
        </w:trPr>
        <w:tc>
          <w:tcPr>
            <w:tcW w:w="1124" w:type="dxa"/>
            <w:vAlign w:val="center"/>
          </w:tcPr>
          <w:p>
            <w:pPr>
              <w:spacing w:line="400" w:lineRule="exact"/>
              <w:ind w:firstLine="300" w:firstLineChars="100"/>
              <w:jc w:val="lef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5</w:t>
            </w:r>
          </w:p>
        </w:tc>
        <w:tc>
          <w:tcPr>
            <w:tcW w:w="2357" w:type="dxa"/>
            <w:vAlign w:val="center"/>
          </w:tcPr>
          <w:p>
            <w:pPr>
              <w:spacing w:line="400" w:lineRule="exact"/>
              <w:rPr>
                <w:rFonts w:asciiTheme="majorEastAsia" w:hAnsiTheme="majorEastAsia" w:eastAsiaTheme="majorEastAsia" w:cstheme="majorEastAsia"/>
                <w:color w:val="000000"/>
                <w:kern w:val="0"/>
                <w:sz w:val="30"/>
                <w:szCs w:val="30"/>
              </w:rPr>
            </w:pPr>
            <w:r>
              <w:rPr>
                <w:rFonts w:hint="eastAsia" w:asciiTheme="majorEastAsia" w:hAnsiTheme="majorEastAsia" w:eastAsiaTheme="majorEastAsia" w:cstheme="majorEastAsia"/>
                <w:sz w:val="30"/>
                <w:szCs w:val="30"/>
              </w:rPr>
              <w:t>推进科学民主依法决策</w:t>
            </w:r>
          </w:p>
        </w:tc>
        <w:tc>
          <w:tcPr>
            <w:tcW w:w="8563" w:type="dxa"/>
          </w:tcPr>
          <w:p>
            <w:pPr>
              <w:spacing w:line="400" w:lineRule="exac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认真贯彻落实国务院《重大行政决策程序暂行条例》和省市重大行政决策程序有关规定，落实</w:t>
            </w:r>
            <w:r>
              <w:rPr>
                <w:rFonts w:hint="eastAsia" w:asciiTheme="majorEastAsia" w:hAnsiTheme="majorEastAsia" w:eastAsiaTheme="majorEastAsia" w:cstheme="majorEastAsia"/>
                <w:sz w:val="30"/>
                <w:szCs w:val="30"/>
                <w:lang w:val="zh-TW"/>
              </w:rPr>
              <w:t>重大行政决策公众参与、专家论证、风险评估、合法性审查、集体讨论等法定程序。</w:t>
            </w:r>
          </w:p>
        </w:tc>
        <w:tc>
          <w:tcPr>
            <w:tcW w:w="2119" w:type="dxa"/>
          </w:tcPr>
          <w:p>
            <w:pPr>
              <w:spacing w:line="400" w:lineRule="exact"/>
              <w:jc w:val="lef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color w:val="000000"/>
                <w:kern w:val="0"/>
                <w:sz w:val="30"/>
                <w:szCs w:val="30"/>
                <w:lang w:val="en-US" w:eastAsia="zh-CN"/>
              </w:rPr>
              <w:t>办公室（法规）、</w:t>
            </w:r>
            <w:r>
              <w:rPr>
                <w:rFonts w:hint="eastAsia" w:asciiTheme="majorEastAsia" w:hAnsiTheme="majorEastAsia" w:eastAsiaTheme="majorEastAsia" w:cstheme="majorEastAsia"/>
                <w:sz w:val="30"/>
                <w:szCs w:val="30"/>
                <w:lang w:val="en-US" w:eastAsia="zh-CN"/>
              </w:rPr>
              <w:t>各有关处室、分局、市医保中心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trPr>
        <w:tc>
          <w:tcPr>
            <w:tcW w:w="1124" w:type="dxa"/>
            <w:vMerge w:val="restart"/>
            <w:vAlign w:val="center"/>
          </w:tcPr>
          <w:p>
            <w:pPr>
              <w:spacing w:line="400" w:lineRule="exact"/>
              <w:ind w:firstLine="300" w:firstLineChars="100"/>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6</w:t>
            </w:r>
          </w:p>
        </w:tc>
        <w:tc>
          <w:tcPr>
            <w:tcW w:w="2357" w:type="dxa"/>
            <w:vMerge w:val="restart"/>
            <w:vAlign w:val="center"/>
          </w:tcPr>
          <w:p>
            <w:pPr>
              <w:spacing w:line="400" w:lineRule="exact"/>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落实政策文件公平竞争审查</w:t>
            </w:r>
          </w:p>
        </w:tc>
        <w:tc>
          <w:tcPr>
            <w:tcW w:w="8563" w:type="dxa"/>
          </w:tcPr>
          <w:p>
            <w:pPr>
              <w:spacing w:line="400" w:lineRule="exac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zh-TW"/>
              </w:rPr>
              <w:t>落实政策文件公平竞争审查制度，涉及市场经济主体的政策文件出台前必须经过公平竞争审查。</w:t>
            </w:r>
          </w:p>
        </w:tc>
        <w:tc>
          <w:tcPr>
            <w:tcW w:w="2119" w:type="dxa"/>
          </w:tcPr>
          <w:p>
            <w:pPr>
              <w:spacing w:line="400" w:lineRule="exact"/>
              <w:jc w:val="lef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color w:val="000000"/>
                <w:kern w:val="0"/>
                <w:sz w:val="30"/>
                <w:szCs w:val="30"/>
                <w:lang w:val="en-US" w:eastAsia="zh-CN"/>
              </w:rPr>
              <w:t>办公室（法规）、</w:t>
            </w:r>
            <w:r>
              <w:rPr>
                <w:rFonts w:hint="eastAsia" w:asciiTheme="majorEastAsia" w:hAnsiTheme="majorEastAsia" w:eastAsiaTheme="majorEastAsia" w:cstheme="majorEastAsia"/>
                <w:sz w:val="30"/>
                <w:szCs w:val="30"/>
                <w:lang w:val="en-US" w:eastAsia="zh-CN"/>
              </w:rPr>
              <w:t>各有关处室、分局、市医保中心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trPr>
        <w:tc>
          <w:tcPr>
            <w:tcW w:w="1124" w:type="dxa"/>
            <w:vMerge w:val="continue"/>
            <w:vAlign w:val="center"/>
          </w:tcPr>
          <w:p>
            <w:pPr>
              <w:spacing w:line="400" w:lineRule="exact"/>
              <w:ind w:firstLine="600" w:firstLineChars="200"/>
              <w:jc w:val="center"/>
              <w:rPr>
                <w:rFonts w:asciiTheme="majorEastAsia" w:hAnsiTheme="majorEastAsia" w:eastAsiaTheme="majorEastAsia" w:cstheme="majorEastAsia"/>
                <w:sz w:val="30"/>
                <w:szCs w:val="30"/>
              </w:rPr>
            </w:pPr>
          </w:p>
        </w:tc>
        <w:tc>
          <w:tcPr>
            <w:tcW w:w="2357" w:type="dxa"/>
            <w:vMerge w:val="continue"/>
            <w:vAlign w:val="center"/>
          </w:tcPr>
          <w:p>
            <w:pPr>
              <w:spacing w:line="400" w:lineRule="exact"/>
              <w:rPr>
                <w:rFonts w:asciiTheme="majorEastAsia" w:hAnsiTheme="majorEastAsia" w:eastAsiaTheme="majorEastAsia" w:cstheme="majorEastAsia"/>
                <w:sz w:val="30"/>
                <w:szCs w:val="30"/>
              </w:rPr>
            </w:pPr>
          </w:p>
        </w:tc>
        <w:tc>
          <w:tcPr>
            <w:tcW w:w="8563" w:type="dxa"/>
          </w:tcPr>
          <w:p>
            <w:pPr>
              <w:spacing w:line="400" w:lineRule="exact"/>
              <w:rPr>
                <w:rFonts w:asciiTheme="majorEastAsia" w:hAnsiTheme="majorEastAsia" w:eastAsiaTheme="majorEastAsia" w:cstheme="majorEastAsia"/>
                <w:sz w:val="30"/>
                <w:szCs w:val="30"/>
                <w:lang w:val="zh-TW"/>
              </w:rPr>
            </w:pPr>
            <w:r>
              <w:rPr>
                <w:rFonts w:hint="eastAsia" w:asciiTheme="majorEastAsia" w:hAnsiTheme="majorEastAsia" w:eastAsiaTheme="majorEastAsia" w:cstheme="majorEastAsia"/>
                <w:sz w:val="30"/>
                <w:szCs w:val="30"/>
              </w:rPr>
              <w:t>进一步健全公平竞争审查工作机制，局承办的市政府名义制发的文件报市政府审议同时提供公平竞争审查意见，以部门名义制发的政策文件由承办机构初审后报</w:t>
            </w:r>
            <w:r>
              <w:rPr>
                <w:rFonts w:hint="eastAsia" w:asciiTheme="majorEastAsia" w:hAnsiTheme="majorEastAsia" w:eastAsiaTheme="majorEastAsia" w:cstheme="majorEastAsia"/>
                <w:sz w:val="30"/>
                <w:szCs w:val="30"/>
                <w:lang w:eastAsia="zh-CN"/>
              </w:rPr>
              <w:t>办公室</w:t>
            </w:r>
            <w:r>
              <w:rPr>
                <w:rFonts w:hint="eastAsia" w:asciiTheme="majorEastAsia" w:hAnsiTheme="majorEastAsia" w:eastAsiaTheme="majorEastAsia" w:cstheme="majorEastAsia"/>
                <w:sz w:val="30"/>
                <w:szCs w:val="30"/>
              </w:rPr>
              <w:t>审查。</w:t>
            </w:r>
          </w:p>
        </w:tc>
        <w:tc>
          <w:tcPr>
            <w:tcW w:w="2119" w:type="dxa"/>
          </w:tcPr>
          <w:p>
            <w:pPr>
              <w:spacing w:line="400" w:lineRule="exact"/>
              <w:jc w:val="left"/>
              <w:rPr>
                <w:rFonts w:hint="eastAsia"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color w:val="000000"/>
                <w:kern w:val="0"/>
                <w:sz w:val="30"/>
                <w:szCs w:val="30"/>
                <w:lang w:val="en-US" w:eastAsia="zh-CN"/>
              </w:rPr>
              <w:t>办公室（法规）、</w:t>
            </w:r>
            <w:r>
              <w:rPr>
                <w:rFonts w:hint="eastAsia" w:asciiTheme="majorEastAsia" w:hAnsiTheme="majorEastAsia" w:eastAsiaTheme="majorEastAsia" w:cstheme="majorEastAsia"/>
                <w:sz w:val="30"/>
                <w:szCs w:val="30"/>
                <w:lang w:val="en-US" w:eastAsia="zh-CN"/>
              </w:rPr>
              <w:t>各有关处室、分局、市医保中心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1124" w:type="dxa"/>
            <w:vMerge w:val="restart"/>
            <w:vAlign w:val="center"/>
          </w:tcPr>
          <w:p>
            <w:pPr>
              <w:spacing w:line="400" w:lineRule="exact"/>
              <w:ind w:firstLine="300" w:firstLineChars="100"/>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7</w:t>
            </w:r>
          </w:p>
        </w:tc>
        <w:tc>
          <w:tcPr>
            <w:tcW w:w="2357" w:type="dxa"/>
            <w:vMerge w:val="restart"/>
            <w:vAlign w:val="center"/>
          </w:tcPr>
          <w:p>
            <w:pPr>
              <w:spacing w:line="400" w:lineRule="exac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完善政府法律事务工作制度</w:t>
            </w:r>
          </w:p>
        </w:tc>
        <w:tc>
          <w:tcPr>
            <w:tcW w:w="8563" w:type="dxa"/>
          </w:tcPr>
          <w:p>
            <w:pPr>
              <w:spacing w:line="400" w:lineRule="exac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健全完善政府部门法律事务各项制度，进一步发挥法律智库对医疗保障改革推进的支撑和保障作用。</w:t>
            </w:r>
          </w:p>
        </w:tc>
        <w:tc>
          <w:tcPr>
            <w:tcW w:w="2119" w:type="dxa"/>
          </w:tcPr>
          <w:p>
            <w:pPr>
              <w:spacing w:line="400" w:lineRule="exact"/>
              <w:jc w:val="left"/>
              <w:rPr>
                <w:rFonts w:hint="eastAsia"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val="en-US" w:eastAsia="zh-CN"/>
              </w:rPr>
              <w:t>办公室（法规）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8" w:hRule="atLeast"/>
        </w:trPr>
        <w:tc>
          <w:tcPr>
            <w:tcW w:w="1124" w:type="dxa"/>
            <w:vMerge w:val="continue"/>
            <w:vAlign w:val="center"/>
          </w:tcPr>
          <w:p>
            <w:pPr>
              <w:spacing w:line="400" w:lineRule="exact"/>
              <w:ind w:firstLine="600" w:firstLineChars="200"/>
              <w:jc w:val="center"/>
              <w:rPr>
                <w:rFonts w:asciiTheme="majorEastAsia" w:hAnsiTheme="majorEastAsia" w:eastAsiaTheme="majorEastAsia" w:cstheme="majorEastAsia"/>
                <w:sz w:val="30"/>
                <w:szCs w:val="30"/>
              </w:rPr>
            </w:pPr>
          </w:p>
        </w:tc>
        <w:tc>
          <w:tcPr>
            <w:tcW w:w="2357" w:type="dxa"/>
            <w:vMerge w:val="continue"/>
            <w:vAlign w:val="center"/>
          </w:tcPr>
          <w:p>
            <w:pPr>
              <w:spacing w:line="400" w:lineRule="exact"/>
              <w:rPr>
                <w:rFonts w:asciiTheme="majorEastAsia" w:hAnsiTheme="majorEastAsia" w:eastAsiaTheme="majorEastAsia" w:cstheme="majorEastAsia"/>
                <w:sz w:val="30"/>
                <w:szCs w:val="30"/>
              </w:rPr>
            </w:pPr>
          </w:p>
        </w:tc>
        <w:tc>
          <w:tcPr>
            <w:tcW w:w="8563" w:type="dxa"/>
          </w:tcPr>
          <w:p>
            <w:pPr>
              <w:spacing w:line="400" w:lineRule="exac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zh-TW"/>
              </w:rPr>
              <w:t>进一步完善政府部门法律顾问工作机制，</w:t>
            </w:r>
            <w:r>
              <w:rPr>
                <w:rFonts w:hint="eastAsia" w:asciiTheme="majorEastAsia" w:hAnsiTheme="majorEastAsia" w:eastAsiaTheme="majorEastAsia" w:cstheme="majorEastAsia"/>
                <w:sz w:val="30"/>
                <w:szCs w:val="30"/>
              </w:rPr>
              <w:t>探索聘任法律顾问助手常驻机关模式，落实</w:t>
            </w:r>
            <w:r>
              <w:rPr>
                <w:rFonts w:hint="eastAsia" w:asciiTheme="majorEastAsia" w:hAnsiTheme="majorEastAsia" w:eastAsiaTheme="majorEastAsia" w:cstheme="majorEastAsia"/>
                <w:sz w:val="30"/>
                <w:szCs w:val="30"/>
                <w:lang w:val="zh-TW"/>
              </w:rPr>
              <w:t>部门公职律师工作制度，充分发挥法律顾问、</w:t>
            </w:r>
            <w:r>
              <w:rPr>
                <w:rFonts w:hint="eastAsia" w:asciiTheme="majorEastAsia" w:hAnsiTheme="majorEastAsia" w:eastAsiaTheme="majorEastAsia" w:cstheme="majorEastAsia"/>
                <w:sz w:val="30"/>
                <w:szCs w:val="30"/>
              </w:rPr>
              <w:t>公职律师</w:t>
            </w:r>
            <w:r>
              <w:rPr>
                <w:rFonts w:hint="eastAsia" w:asciiTheme="majorEastAsia" w:hAnsiTheme="majorEastAsia" w:eastAsiaTheme="majorEastAsia" w:cstheme="majorEastAsia"/>
                <w:sz w:val="30"/>
                <w:szCs w:val="30"/>
                <w:lang w:val="zh-TW"/>
              </w:rPr>
              <w:t>在重大决策、规范性文件制定、行政执法、复议应诉、信访处理、政府合同等法律事务中的支撑作用。</w:t>
            </w:r>
          </w:p>
        </w:tc>
        <w:tc>
          <w:tcPr>
            <w:tcW w:w="2119" w:type="dxa"/>
          </w:tcPr>
          <w:p>
            <w:pPr>
              <w:spacing w:line="400" w:lineRule="exact"/>
              <w:jc w:val="left"/>
              <w:rPr>
                <w:rFonts w:hint="eastAsia"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val="en-US" w:eastAsia="zh-CN"/>
              </w:rPr>
              <w:t>办公室（法规）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1124" w:type="dxa"/>
            <w:vMerge w:val="continue"/>
            <w:vAlign w:val="center"/>
          </w:tcPr>
          <w:p>
            <w:pPr>
              <w:spacing w:line="400" w:lineRule="exact"/>
              <w:ind w:firstLine="600" w:firstLineChars="200"/>
              <w:jc w:val="center"/>
              <w:rPr>
                <w:rFonts w:asciiTheme="majorEastAsia" w:hAnsiTheme="majorEastAsia" w:eastAsiaTheme="majorEastAsia" w:cstheme="majorEastAsia"/>
                <w:sz w:val="30"/>
                <w:szCs w:val="30"/>
              </w:rPr>
            </w:pPr>
          </w:p>
        </w:tc>
        <w:tc>
          <w:tcPr>
            <w:tcW w:w="2357" w:type="dxa"/>
            <w:vMerge w:val="continue"/>
            <w:vAlign w:val="center"/>
          </w:tcPr>
          <w:p>
            <w:pPr>
              <w:spacing w:line="400" w:lineRule="exact"/>
              <w:rPr>
                <w:rFonts w:asciiTheme="majorEastAsia" w:hAnsiTheme="majorEastAsia" w:eastAsiaTheme="majorEastAsia" w:cstheme="majorEastAsia"/>
                <w:sz w:val="30"/>
                <w:szCs w:val="30"/>
              </w:rPr>
            </w:pPr>
          </w:p>
        </w:tc>
        <w:tc>
          <w:tcPr>
            <w:tcW w:w="8563" w:type="dxa"/>
          </w:tcPr>
          <w:p>
            <w:pPr>
              <w:spacing w:line="400" w:lineRule="exact"/>
              <w:rPr>
                <w:rFonts w:asciiTheme="majorEastAsia" w:hAnsiTheme="majorEastAsia" w:eastAsiaTheme="majorEastAsia" w:cstheme="majorEastAsia"/>
                <w:sz w:val="30"/>
                <w:szCs w:val="30"/>
                <w:lang w:val="zh-TW"/>
              </w:rPr>
            </w:pPr>
            <w:r>
              <w:rPr>
                <w:rFonts w:hint="eastAsia" w:asciiTheme="majorEastAsia" w:hAnsiTheme="majorEastAsia" w:eastAsiaTheme="majorEastAsia" w:cstheme="majorEastAsia"/>
                <w:sz w:val="30"/>
                <w:szCs w:val="30"/>
              </w:rPr>
              <w:t>落实</w:t>
            </w:r>
            <w:r>
              <w:rPr>
                <w:rFonts w:hint="eastAsia" w:asciiTheme="majorEastAsia" w:hAnsiTheme="majorEastAsia" w:eastAsiaTheme="majorEastAsia" w:cstheme="majorEastAsia"/>
                <w:sz w:val="30"/>
                <w:szCs w:val="30"/>
                <w:lang w:val="zh-TW"/>
              </w:rPr>
              <w:t>政府部门合同管理制度，加强对政府合同的合法性审查。</w:t>
            </w:r>
          </w:p>
        </w:tc>
        <w:tc>
          <w:tcPr>
            <w:tcW w:w="2119" w:type="dxa"/>
          </w:tcPr>
          <w:p>
            <w:pPr>
              <w:spacing w:line="400" w:lineRule="exact"/>
              <w:jc w:val="left"/>
              <w:rPr>
                <w:rFonts w:hint="eastAsia"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val="en-US" w:eastAsia="zh-CN"/>
              </w:rPr>
              <w:t>办公室（法规）、各有关处室、分局、市医保中心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4163" w:type="dxa"/>
            <w:gridSpan w:val="4"/>
            <w:vAlign w:val="center"/>
          </w:tcPr>
          <w:p>
            <w:pPr>
              <w:spacing w:line="400" w:lineRule="exact"/>
              <w:jc w:val="left"/>
              <w:rPr>
                <w:rFonts w:asciiTheme="majorEastAsia" w:hAnsiTheme="majorEastAsia" w:eastAsiaTheme="majorEastAsia" w:cstheme="majorEastAsia"/>
                <w:sz w:val="30"/>
                <w:szCs w:val="30"/>
              </w:rPr>
            </w:pPr>
            <w:r>
              <w:rPr>
                <w:rFonts w:hint="eastAsia" w:ascii="黑体" w:hAnsi="黑体" w:eastAsia="黑体" w:cs="黑体"/>
                <w:color w:val="000000"/>
                <w:kern w:val="0"/>
                <w:sz w:val="30"/>
                <w:szCs w:val="30"/>
              </w:rPr>
              <w:t>三、规范行政执法行为，促进严格规范公正文明执法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trPr>
        <w:tc>
          <w:tcPr>
            <w:tcW w:w="1124" w:type="dxa"/>
            <w:vMerge w:val="restart"/>
            <w:vAlign w:val="center"/>
          </w:tcPr>
          <w:p>
            <w:pPr>
              <w:spacing w:line="400" w:lineRule="exact"/>
              <w:ind w:firstLine="300" w:firstLineChars="100"/>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8</w:t>
            </w:r>
          </w:p>
        </w:tc>
        <w:tc>
          <w:tcPr>
            <w:tcW w:w="2357" w:type="dxa"/>
            <w:vMerge w:val="restart"/>
            <w:vAlign w:val="center"/>
          </w:tcPr>
          <w:p>
            <w:pPr>
              <w:spacing w:line="400" w:lineRule="exac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color w:val="000000"/>
                <w:sz w:val="30"/>
                <w:szCs w:val="30"/>
              </w:rPr>
              <w:t>严格规范行政执法程序</w:t>
            </w:r>
          </w:p>
        </w:tc>
        <w:tc>
          <w:tcPr>
            <w:tcW w:w="8563" w:type="dxa"/>
          </w:tcPr>
          <w:p>
            <w:pPr>
              <w:spacing w:line="400" w:lineRule="exac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color w:val="000000"/>
                <w:sz w:val="30"/>
                <w:szCs w:val="30"/>
              </w:rPr>
              <w:t>落实行政执法责任制，严格贯彻落实行政执法公示、执法全过程记录、行政执法决定法制审核三项制度，不断完善落实三项制度的配套工作机制。</w:t>
            </w:r>
          </w:p>
        </w:tc>
        <w:tc>
          <w:tcPr>
            <w:tcW w:w="2119" w:type="dxa"/>
          </w:tcPr>
          <w:p>
            <w:pPr>
              <w:spacing w:line="400" w:lineRule="exact"/>
              <w:jc w:val="left"/>
              <w:rPr>
                <w:rFonts w:hint="default"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val="en-US" w:eastAsia="zh-CN"/>
              </w:rPr>
              <w:t>基金监督处、办公室（法规）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6" w:hRule="atLeast"/>
        </w:trPr>
        <w:tc>
          <w:tcPr>
            <w:tcW w:w="1124" w:type="dxa"/>
            <w:vMerge w:val="continue"/>
            <w:vAlign w:val="center"/>
          </w:tcPr>
          <w:p>
            <w:pPr>
              <w:spacing w:line="400" w:lineRule="exact"/>
              <w:ind w:firstLine="600" w:firstLineChars="200"/>
              <w:jc w:val="center"/>
              <w:rPr>
                <w:rFonts w:asciiTheme="majorEastAsia" w:hAnsiTheme="majorEastAsia" w:eastAsiaTheme="majorEastAsia" w:cstheme="majorEastAsia"/>
                <w:sz w:val="30"/>
                <w:szCs w:val="30"/>
              </w:rPr>
            </w:pPr>
          </w:p>
        </w:tc>
        <w:tc>
          <w:tcPr>
            <w:tcW w:w="2357" w:type="dxa"/>
            <w:vMerge w:val="continue"/>
            <w:vAlign w:val="center"/>
          </w:tcPr>
          <w:p>
            <w:pPr>
              <w:spacing w:line="400" w:lineRule="exact"/>
              <w:rPr>
                <w:rFonts w:asciiTheme="majorEastAsia" w:hAnsiTheme="majorEastAsia" w:eastAsiaTheme="majorEastAsia" w:cstheme="majorEastAsia"/>
                <w:color w:val="000000"/>
                <w:sz w:val="30"/>
                <w:szCs w:val="30"/>
              </w:rPr>
            </w:pPr>
          </w:p>
        </w:tc>
        <w:tc>
          <w:tcPr>
            <w:tcW w:w="8563" w:type="dxa"/>
          </w:tcPr>
          <w:p>
            <w:pPr>
              <w:spacing w:line="400" w:lineRule="exact"/>
              <w:rPr>
                <w:rFonts w:asciiTheme="majorEastAsia" w:hAnsiTheme="majorEastAsia" w:eastAsiaTheme="majorEastAsia" w:cstheme="majorEastAsia"/>
                <w:color w:val="000000"/>
                <w:sz w:val="30"/>
                <w:szCs w:val="30"/>
              </w:rPr>
            </w:pPr>
            <w:r>
              <w:rPr>
                <w:rFonts w:hint="eastAsia" w:asciiTheme="majorEastAsia" w:hAnsiTheme="majorEastAsia" w:eastAsiaTheme="majorEastAsia" w:cstheme="majorEastAsia"/>
                <w:color w:val="000000"/>
                <w:sz w:val="30"/>
                <w:szCs w:val="30"/>
              </w:rPr>
              <w:t>贯彻落实《医疗保障基金使用监督管理条例》，完善行政执法、经办稽核相协同的基金监管执法程序，探索开展医疗保障领域委托执法。</w:t>
            </w:r>
          </w:p>
        </w:tc>
        <w:tc>
          <w:tcPr>
            <w:tcW w:w="2119" w:type="dxa"/>
          </w:tcPr>
          <w:p>
            <w:pPr>
              <w:spacing w:line="400" w:lineRule="exact"/>
              <w:jc w:val="left"/>
              <w:rPr>
                <w:rFonts w:hint="default"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val="en-US" w:eastAsia="zh-CN"/>
              </w:rPr>
              <w:t>基金监督处、办公室（法规）、市医保中心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124" w:type="dxa"/>
            <w:vMerge w:val="continue"/>
            <w:vAlign w:val="center"/>
          </w:tcPr>
          <w:p>
            <w:pPr>
              <w:spacing w:line="400" w:lineRule="exact"/>
              <w:ind w:firstLine="600" w:firstLineChars="200"/>
              <w:jc w:val="center"/>
              <w:rPr>
                <w:rFonts w:asciiTheme="majorEastAsia" w:hAnsiTheme="majorEastAsia" w:eastAsiaTheme="majorEastAsia" w:cstheme="majorEastAsia"/>
                <w:sz w:val="30"/>
                <w:szCs w:val="30"/>
              </w:rPr>
            </w:pPr>
          </w:p>
        </w:tc>
        <w:tc>
          <w:tcPr>
            <w:tcW w:w="2357" w:type="dxa"/>
            <w:vMerge w:val="continue"/>
            <w:vAlign w:val="center"/>
          </w:tcPr>
          <w:p>
            <w:pPr>
              <w:spacing w:line="400" w:lineRule="exact"/>
              <w:rPr>
                <w:rFonts w:asciiTheme="majorEastAsia" w:hAnsiTheme="majorEastAsia" w:eastAsiaTheme="majorEastAsia" w:cstheme="majorEastAsia"/>
                <w:color w:val="000000"/>
                <w:sz w:val="30"/>
                <w:szCs w:val="30"/>
              </w:rPr>
            </w:pPr>
          </w:p>
        </w:tc>
        <w:tc>
          <w:tcPr>
            <w:tcW w:w="8563" w:type="dxa"/>
          </w:tcPr>
          <w:p>
            <w:pPr>
              <w:spacing w:line="400" w:lineRule="exact"/>
              <w:rPr>
                <w:rFonts w:asciiTheme="majorEastAsia" w:hAnsiTheme="majorEastAsia" w:eastAsiaTheme="majorEastAsia" w:cstheme="majorEastAsia"/>
                <w:color w:val="000000"/>
                <w:sz w:val="30"/>
                <w:szCs w:val="30"/>
              </w:rPr>
            </w:pPr>
            <w:r>
              <w:rPr>
                <w:rFonts w:hint="eastAsia" w:asciiTheme="majorEastAsia" w:hAnsiTheme="majorEastAsia" w:eastAsiaTheme="majorEastAsia" w:cstheme="majorEastAsia"/>
                <w:color w:val="000000"/>
                <w:sz w:val="30"/>
                <w:szCs w:val="30"/>
              </w:rPr>
              <w:t>落实医疗保障领域涉企轻微违法行为不予行政处罚和一般违法行为从轻减轻行政处罚清单。</w:t>
            </w:r>
          </w:p>
        </w:tc>
        <w:tc>
          <w:tcPr>
            <w:tcW w:w="2119" w:type="dxa"/>
          </w:tcPr>
          <w:p>
            <w:pPr>
              <w:spacing w:line="400" w:lineRule="exact"/>
              <w:jc w:val="left"/>
              <w:rPr>
                <w:rFonts w:hint="default"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val="en-US" w:eastAsia="zh-CN"/>
              </w:rPr>
              <w:t>基金监督处、办公室（法规）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1124" w:type="dxa"/>
            <w:vMerge w:val="restart"/>
            <w:vAlign w:val="center"/>
          </w:tcPr>
          <w:p>
            <w:pPr>
              <w:spacing w:line="400" w:lineRule="exact"/>
              <w:ind w:firstLine="300" w:firstLineChars="100"/>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9</w:t>
            </w:r>
          </w:p>
        </w:tc>
        <w:tc>
          <w:tcPr>
            <w:tcW w:w="2357" w:type="dxa"/>
            <w:vMerge w:val="restart"/>
            <w:vAlign w:val="center"/>
          </w:tcPr>
          <w:p>
            <w:pPr>
              <w:spacing w:line="400" w:lineRule="exact"/>
              <w:rPr>
                <w:rFonts w:asciiTheme="majorEastAsia" w:hAnsiTheme="majorEastAsia" w:eastAsiaTheme="majorEastAsia" w:cstheme="majorEastAsia"/>
                <w:color w:val="000000"/>
                <w:sz w:val="30"/>
                <w:szCs w:val="30"/>
              </w:rPr>
            </w:pPr>
            <w:r>
              <w:rPr>
                <w:rFonts w:hint="eastAsia" w:asciiTheme="majorEastAsia" w:hAnsiTheme="majorEastAsia" w:eastAsiaTheme="majorEastAsia" w:cstheme="majorEastAsia"/>
                <w:color w:val="000000"/>
                <w:kern w:val="0"/>
                <w:sz w:val="30"/>
                <w:szCs w:val="30"/>
              </w:rPr>
              <w:t>落实“双随机、一公开”监管要求</w:t>
            </w:r>
          </w:p>
        </w:tc>
        <w:tc>
          <w:tcPr>
            <w:tcW w:w="8563" w:type="dxa"/>
          </w:tcPr>
          <w:p>
            <w:pPr>
              <w:spacing w:line="400" w:lineRule="exact"/>
              <w:rPr>
                <w:rFonts w:asciiTheme="majorEastAsia" w:hAnsiTheme="majorEastAsia" w:eastAsiaTheme="majorEastAsia" w:cstheme="majorEastAsia"/>
                <w:color w:val="000000"/>
                <w:sz w:val="30"/>
                <w:szCs w:val="30"/>
              </w:rPr>
            </w:pPr>
            <w:r>
              <w:rPr>
                <w:rFonts w:hint="eastAsia" w:asciiTheme="majorEastAsia" w:hAnsiTheme="majorEastAsia" w:eastAsiaTheme="majorEastAsia" w:cstheme="majorEastAsia"/>
                <w:color w:val="000000"/>
                <w:kern w:val="0"/>
                <w:sz w:val="30"/>
                <w:szCs w:val="30"/>
              </w:rPr>
              <w:t>进一步健全工作制度，完善两库建设、结果公开等配套机制，实现“随机抽取检查对象、随机分配检查人员”。</w:t>
            </w:r>
          </w:p>
        </w:tc>
        <w:tc>
          <w:tcPr>
            <w:tcW w:w="2119" w:type="dxa"/>
          </w:tcPr>
          <w:p>
            <w:pPr>
              <w:spacing w:line="400" w:lineRule="exact"/>
              <w:jc w:val="left"/>
              <w:rPr>
                <w:rFonts w:hint="default"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val="en-US" w:eastAsia="zh-CN"/>
              </w:rPr>
              <w:t>基金监督处、办公室（法规）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124" w:type="dxa"/>
            <w:vMerge w:val="continue"/>
            <w:vAlign w:val="center"/>
          </w:tcPr>
          <w:p>
            <w:pPr>
              <w:spacing w:line="400" w:lineRule="exact"/>
              <w:ind w:firstLine="600" w:firstLineChars="200"/>
              <w:jc w:val="center"/>
              <w:rPr>
                <w:rFonts w:asciiTheme="majorEastAsia" w:hAnsiTheme="majorEastAsia" w:eastAsiaTheme="majorEastAsia" w:cstheme="majorEastAsia"/>
                <w:sz w:val="30"/>
                <w:szCs w:val="30"/>
              </w:rPr>
            </w:pPr>
          </w:p>
        </w:tc>
        <w:tc>
          <w:tcPr>
            <w:tcW w:w="2357" w:type="dxa"/>
            <w:vMerge w:val="continue"/>
            <w:vAlign w:val="center"/>
          </w:tcPr>
          <w:p>
            <w:pPr>
              <w:spacing w:line="400" w:lineRule="exact"/>
              <w:rPr>
                <w:rFonts w:asciiTheme="majorEastAsia" w:hAnsiTheme="majorEastAsia" w:eastAsiaTheme="majorEastAsia" w:cstheme="majorEastAsia"/>
                <w:color w:val="000000"/>
                <w:kern w:val="0"/>
                <w:sz w:val="30"/>
                <w:szCs w:val="30"/>
              </w:rPr>
            </w:pPr>
          </w:p>
        </w:tc>
        <w:tc>
          <w:tcPr>
            <w:tcW w:w="8563" w:type="dxa"/>
          </w:tcPr>
          <w:p>
            <w:pPr>
              <w:spacing w:line="400" w:lineRule="exact"/>
              <w:rPr>
                <w:rFonts w:asciiTheme="majorEastAsia" w:hAnsiTheme="majorEastAsia" w:eastAsiaTheme="majorEastAsia" w:cstheme="majorEastAsia"/>
                <w:color w:val="000000"/>
                <w:kern w:val="0"/>
                <w:sz w:val="30"/>
                <w:szCs w:val="30"/>
              </w:rPr>
            </w:pPr>
            <w:r>
              <w:rPr>
                <w:rFonts w:hint="eastAsia" w:asciiTheme="majorEastAsia" w:hAnsiTheme="majorEastAsia" w:eastAsiaTheme="majorEastAsia" w:cstheme="majorEastAsia"/>
                <w:color w:val="000000"/>
                <w:kern w:val="0"/>
                <w:sz w:val="30"/>
                <w:szCs w:val="30"/>
              </w:rPr>
              <w:t>推进医疗保障部门内部检查联动，加强与信用监管的衔接。</w:t>
            </w:r>
          </w:p>
        </w:tc>
        <w:tc>
          <w:tcPr>
            <w:tcW w:w="2119" w:type="dxa"/>
          </w:tcPr>
          <w:p>
            <w:pPr>
              <w:spacing w:line="400" w:lineRule="exact"/>
              <w:jc w:val="left"/>
              <w:rPr>
                <w:rFonts w:hint="default"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val="en-US" w:eastAsia="zh-CN"/>
              </w:rPr>
              <w:t>基金监督处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trPr>
        <w:tc>
          <w:tcPr>
            <w:tcW w:w="1124" w:type="dxa"/>
            <w:vMerge w:val="continue"/>
            <w:vAlign w:val="center"/>
          </w:tcPr>
          <w:p>
            <w:pPr>
              <w:spacing w:line="400" w:lineRule="exact"/>
              <w:ind w:firstLine="600" w:firstLineChars="200"/>
              <w:jc w:val="center"/>
              <w:rPr>
                <w:rFonts w:asciiTheme="majorEastAsia" w:hAnsiTheme="majorEastAsia" w:eastAsiaTheme="majorEastAsia" w:cstheme="majorEastAsia"/>
                <w:sz w:val="30"/>
                <w:szCs w:val="30"/>
              </w:rPr>
            </w:pPr>
          </w:p>
        </w:tc>
        <w:tc>
          <w:tcPr>
            <w:tcW w:w="2357" w:type="dxa"/>
            <w:vMerge w:val="continue"/>
            <w:vAlign w:val="center"/>
          </w:tcPr>
          <w:p>
            <w:pPr>
              <w:spacing w:line="400" w:lineRule="exact"/>
              <w:rPr>
                <w:rFonts w:asciiTheme="majorEastAsia" w:hAnsiTheme="majorEastAsia" w:eastAsiaTheme="majorEastAsia" w:cstheme="majorEastAsia"/>
                <w:color w:val="000000"/>
                <w:kern w:val="0"/>
                <w:sz w:val="30"/>
                <w:szCs w:val="30"/>
              </w:rPr>
            </w:pPr>
          </w:p>
        </w:tc>
        <w:tc>
          <w:tcPr>
            <w:tcW w:w="8563" w:type="dxa"/>
          </w:tcPr>
          <w:p>
            <w:pPr>
              <w:spacing w:line="400" w:lineRule="exact"/>
              <w:rPr>
                <w:rFonts w:asciiTheme="majorEastAsia" w:hAnsiTheme="majorEastAsia" w:eastAsiaTheme="majorEastAsia" w:cstheme="majorEastAsia"/>
                <w:color w:val="000000"/>
                <w:kern w:val="0"/>
                <w:sz w:val="30"/>
                <w:szCs w:val="30"/>
              </w:rPr>
            </w:pPr>
            <w:r>
              <w:rPr>
                <w:rFonts w:hint="eastAsia" w:asciiTheme="majorEastAsia" w:hAnsiTheme="majorEastAsia" w:eastAsiaTheme="majorEastAsia" w:cstheme="majorEastAsia"/>
                <w:color w:val="000000"/>
                <w:kern w:val="0"/>
                <w:sz w:val="30"/>
                <w:szCs w:val="30"/>
              </w:rPr>
              <w:t>进一步深化联合监督、“两法衔接”机制，探索建立基金监管工作多部门联合随机抽查机制，做好检查发现问题的依法处理和线索移送工作。</w:t>
            </w:r>
          </w:p>
        </w:tc>
        <w:tc>
          <w:tcPr>
            <w:tcW w:w="2119" w:type="dxa"/>
          </w:tcPr>
          <w:p>
            <w:pPr>
              <w:spacing w:line="400" w:lineRule="exact"/>
              <w:jc w:val="left"/>
              <w:rPr>
                <w:rFonts w:hint="default"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val="en-US" w:eastAsia="zh-CN"/>
              </w:rPr>
              <w:t>基金监督处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6" w:hRule="atLeast"/>
        </w:trPr>
        <w:tc>
          <w:tcPr>
            <w:tcW w:w="1124" w:type="dxa"/>
            <w:vMerge w:val="restart"/>
            <w:vAlign w:val="center"/>
          </w:tcPr>
          <w:p>
            <w:pPr>
              <w:spacing w:line="400" w:lineRule="exact"/>
              <w:jc w:val="center"/>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10</w:t>
            </w:r>
          </w:p>
        </w:tc>
        <w:tc>
          <w:tcPr>
            <w:tcW w:w="2357" w:type="dxa"/>
            <w:vMerge w:val="restart"/>
            <w:vAlign w:val="center"/>
          </w:tcPr>
          <w:p>
            <w:pPr>
              <w:spacing w:line="400" w:lineRule="exact"/>
              <w:rPr>
                <w:rFonts w:asciiTheme="majorEastAsia" w:hAnsiTheme="majorEastAsia" w:eastAsiaTheme="majorEastAsia" w:cstheme="majorEastAsia"/>
                <w:color w:val="000000"/>
                <w:kern w:val="0"/>
                <w:sz w:val="30"/>
                <w:szCs w:val="30"/>
              </w:rPr>
            </w:pPr>
            <w:r>
              <w:rPr>
                <w:rFonts w:hint="eastAsia" w:asciiTheme="majorEastAsia" w:hAnsiTheme="majorEastAsia" w:eastAsiaTheme="majorEastAsia" w:cstheme="majorEastAsia"/>
                <w:color w:val="000000"/>
                <w:sz w:val="30"/>
                <w:szCs w:val="30"/>
                <w:lang w:eastAsia="zh-Hans"/>
              </w:rPr>
              <w:t>强</w:t>
            </w:r>
            <w:r>
              <w:rPr>
                <w:rFonts w:hint="eastAsia" w:asciiTheme="majorEastAsia" w:hAnsiTheme="majorEastAsia" w:eastAsiaTheme="majorEastAsia" w:cstheme="majorEastAsia"/>
                <w:color w:val="000000"/>
                <w:sz w:val="30"/>
                <w:szCs w:val="30"/>
              </w:rPr>
              <w:t>化行政执法监督</w:t>
            </w:r>
          </w:p>
        </w:tc>
        <w:tc>
          <w:tcPr>
            <w:tcW w:w="8563" w:type="dxa"/>
          </w:tcPr>
          <w:p>
            <w:pPr>
              <w:spacing w:line="400" w:lineRule="exact"/>
              <w:rPr>
                <w:rFonts w:asciiTheme="majorEastAsia" w:hAnsiTheme="majorEastAsia" w:eastAsiaTheme="majorEastAsia" w:cstheme="majorEastAsia"/>
                <w:color w:val="000000"/>
                <w:kern w:val="0"/>
                <w:sz w:val="30"/>
                <w:szCs w:val="30"/>
              </w:rPr>
            </w:pPr>
            <w:r>
              <w:rPr>
                <w:rFonts w:hint="eastAsia" w:asciiTheme="majorEastAsia" w:hAnsiTheme="majorEastAsia" w:eastAsiaTheme="majorEastAsia" w:cstheme="majorEastAsia"/>
                <w:color w:val="000000"/>
                <w:sz w:val="30"/>
                <w:szCs w:val="30"/>
              </w:rPr>
              <w:t>根据市政府工作安排，制定全市医疗保障领域行政执法监督计划，加强对行政执法开展情况的监督检查，将全市经办机构稽核检查开展情况纳入监督范围。</w:t>
            </w:r>
          </w:p>
        </w:tc>
        <w:tc>
          <w:tcPr>
            <w:tcW w:w="2119" w:type="dxa"/>
          </w:tcPr>
          <w:p>
            <w:pPr>
              <w:spacing w:line="400" w:lineRule="exact"/>
              <w:jc w:val="left"/>
              <w:rPr>
                <w:rFonts w:hint="eastAsia"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val="en-US" w:eastAsia="zh-CN"/>
              </w:rPr>
              <w:t>办公室（法规）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1124" w:type="dxa"/>
            <w:vMerge w:val="continue"/>
            <w:vAlign w:val="center"/>
          </w:tcPr>
          <w:p>
            <w:pPr>
              <w:spacing w:line="400" w:lineRule="exact"/>
              <w:ind w:firstLine="600" w:firstLineChars="200"/>
              <w:jc w:val="center"/>
              <w:rPr>
                <w:rFonts w:asciiTheme="majorEastAsia" w:hAnsiTheme="majorEastAsia" w:eastAsiaTheme="majorEastAsia" w:cstheme="majorEastAsia"/>
                <w:sz w:val="30"/>
                <w:szCs w:val="30"/>
              </w:rPr>
            </w:pPr>
          </w:p>
        </w:tc>
        <w:tc>
          <w:tcPr>
            <w:tcW w:w="2357" w:type="dxa"/>
            <w:vMerge w:val="continue"/>
            <w:vAlign w:val="center"/>
          </w:tcPr>
          <w:p>
            <w:pPr>
              <w:spacing w:line="400" w:lineRule="exact"/>
              <w:rPr>
                <w:rFonts w:asciiTheme="majorEastAsia" w:hAnsiTheme="majorEastAsia" w:eastAsiaTheme="majorEastAsia" w:cstheme="majorEastAsia"/>
                <w:color w:val="000000"/>
                <w:sz w:val="30"/>
                <w:szCs w:val="30"/>
              </w:rPr>
            </w:pPr>
          </w:p>
        </w:tc>
        <w:tc>
          <w:tcPr>
            <w:tcW w:w="8563" w:type="dxa"/>
          </w:tcPr>
          <w:p>
            <w:pPr>
              <w:spacing w:line="400" w:lineRule="exact"/>
              <w:rPr>
                <w:rFonts w:asciiTheme="majorEastAsia" w:hAnsiTheme="majorEastAsia" w:eastAsiaTheme="majorEastAsia" w:cstheme="majorEastAsia"/>
                <w:color w:val="000000"/>
                <w:sz w:val="30"/>
                <w:szCs w:val="30"/>
              </w:rPr>
            </w:pPr>
            <w:r>
              <w:rPr>
                <w:rFonts w:hint="eastAsia" w:asciiTheme="majorEastAsia" w:hAnsiTheme="majorEastAsia" w:eastAsiaTheme="majorEastAsia" w:cstheme="majorEastAsia"/>
                <w:color w:val="000000"/>
                <w:sz w:val="30"/>
                <w:szCs w:val="30"/>
              </w:rPr>
              <w:t>落实行政执法案卷评查制度，通过集中评查、年中抽查等方式，促进案卷管理规范，提高执法规范化水平。</w:t>
            </w:r>
          </w:p>
        </w:tc>
        <w:tc>
          <w:tcPr>
            <w:tcW w:w="2119" w:type="dxa"/>
          </w:tcPr>
          <w:p>
            <w:pPr>
              <w:spacing w:line="400" w:lineRule="exact"/>
              <w:jc w:val="left"/>
              <w:rPr>
                <w:rFonts w:hint="eastAsia"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val="en-US" w:eastAsia="zh-CN"/>
              </w:rPr>
              <w:t>办公室（法规）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9" w:hRule="atLeast"/>
        </w:trPr>
        <w:tc>
          <w:tcPr>
            <w:tcW w:w="1124" w:type="dxa"/>
            <w:vMerge w:val="restart"/>
            <w:vAlign w:val="center"/>
          </w:tcPr>
          <w:p>
            <w:pPr>
              <w:spacing w:line="400" w:lineRule="exact"/>
              <w:jc w:val="center"/>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11</w:t>
            </w:r>
          </w:p>
        </w:tc>
        <w:tc>
          <w:tcPr>
            <w:tcW w:w="2357" w:type="dxa"/>
            <w:vMerge w:val="restart"/>
            <w:vAlign w:val="center"/>
          </w:tcPr>
          <w:p>
            <w:pPr>
              <w:spacing w:line="400" w:lineRule="exact"/>
              <w:rPr>
                <w:rFonts w:asciiTheme="majorEastAsia" w:hAnsiTheme="majorEastAsia" w:eastAsiaTheme="majorEastAsia" w:cstheme="majorEastAsia"/>
                <w:color w:val="000000"/>
                <w:sz w:val="30"/>
                <w:szCs w:val="30"/>
              </w:rPr>
            </w:pPr>
            <w:r>
              <w:rPr>
                <w:rFonts w:hint="eastAsia" w:asciiTheme="majorEastAsia" w:hAnsiTheme="majorEastAsia" w:eastAsiaTheme="majorEastAsia" w:cstheme="majorEastAsia"/>
                <w:sz w:val="30"/>
                <w:szCs w:val="30"/>
              </w:rPr>
              <w:t>深化信用体系建设</w:t>
            </w:r>
          </w:p>
        </w:tc>
        <w:tc>
          <w:tcPr>
            <w:tcW w:w="8563" w:type="dxa"/>
          </w:tcPr>
          <w:p>
            <w:pPr>
              <w:spacing w:line="400" w:lineRule="exact"/>
              <w:rPr>
                <w:rFonts w:asciiTheme="majorEastAsia" w:hAnsiTheme="majorEastAsia" w:eastAsiaTheme="majorEastAsia" w:cstheme="majorEastAsia"/>
                <w:color w:val="000000"/>
                <w:sz w:val="30"/>
                <w:szCs w:val="30"/>
              </w:rPr>
            </w:pPr>
            <w:r>
              <w:rPr>
                <w:rFonts w:hint="eastAsia" w:asciiTheme="majorEastAsia" w:hAnsiTheme="majorEastAsia" w:eastAsiaTheme="majorEastAsia" w:cstheme="majorEastAsia"/>
                <w:sz w:val="30"/>
                <w:szCs w:val="30"/>
              </w:rPr>
              <w:t>全面开展信用等级评价试点示范，落实定点门诊部诊所、定点零售药店信用等级评价办法，进一步优化诚信医保信用评级平台。</w:t>
            </w:r>
          </w:p>
        </w:tc>
        <w:tc>
          <w:tcPr>
            <w:tcW w:w="2119" w:type="dxa"/>
          </w:tcPr>
          <w:p>
            <w:pPr>
              <w:spacing w:line="400" w:lineRule="exact"/>
              <w:jc w:val="left"/>
              <w:rPr>
                <w:rFonts w:hint="default"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val="en-US" w:eastAsia="zh-CN"/>
              </w:rPr>
              <w:t>基金监督处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1124" w:type="dxa"/>
            <w:vMerge w:val="continue"/>
            <w:vAlign w:val="center"/>
          </w:tcPr>
          <w:p>
            <w:pPr>
              <w:spacing w:line="400" w:lineRule="exact"/>
              <w:ind w:firstLine="600" w:firstLineChars="200"/>
              <w:jc w:val="center"/>
              <w:rPr>
                <w:rFonts w:asciiTheme="majorEastAsia" w:hAnsiTheme="majorEastAsia" w:eastAsiaTheme="majorEastAsia" w:cstheme="majorEastAsia"/>
                <w:sz w:val="30"/>
                <w:szCs w:val="30"/>
              </w:rPr>
            </w:pPr>
          </w:p>
        </w:tc>
        <w:tc>
          <w:tcPr>
            <w:tcW w:w="2357" w:type="dxa"/>
            <w:vMerge w:val="continue"/>
            <w:vAlign w:val="center"/>
          </w:tcPr>
          <w:p>
            <w:pPr>
              <w:spacing w:line="400" w:lineRule="exact"/>
              <w:rPr>
                <w:rFonts w:asciiTheme="majorEastAsia" w:hAnsiTheme="majorEastAsia" w:eastAsiaTheme="majorEastAsia" w:cstheme="majorEastAsia"/>
                <w:sz w:val="30"/>
                <w:szCs w:val="30"/>
              </w:rPr>
            </w:pPr>
          </w:p>
        </w:tc>
        <w:tc>
          <w:tcPr>
            <w:tcW w:w="8563" w:type="dxa"/>
          </w:tcPr>
          <w:p>
            <w:pPr>
              <w:spacing w:line="400" w:lineRule="exac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推进信用信息在业务场景的应用和业务系统的嵌入，完善信用归集、应用的事</w:t>
            </w:r>
            <w:bookmarkStart w:id="0" w:name="_GoBack"/>
            <w:bookmarkEnd w:id="0"/>
            <w:r>
              <w:rPr>
                <w:rFonts w:hint="eastAsia" w:asciiTheme="majorEastAsia" w:hAnsiTheme="majorEastAsia" w:eastAsiaTheme="majorEastAsia" w:cstheme="majorEastAsia"/>
                <w:sz w:val="30"/>
                <w:szCs w:val="30"/>
              </w:rPr>
              <w:t>项目录和工作机制。</w:t>
            </w:r>
          </w:p>
        </w:tc>
        <w:tc>
          <w:tcPr>
            <w:tcW w:w="2119" w:type="dxa"/>
          </w:tcPr>
          <w:p>
            <w:pPr>
              <w:spacing w:line="400" w:lineRule="exact"/>
              <w:jc w:val="left"/>
              <w:rPr>
                <w:rFonts w:hint="eastAsia"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val="en-US" w:eastAsia="zh-CN"/>
              </w:rPr>
              <w:t>基金监督处、各有关处室、分局、市医保中心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4163" w:type="dxa"/>
            <w:gridSpan w:val="4"/>
            <w:vAlign w:val="center"/>
          </w:tcPr>
          <w:p>
            <w:pPr>
              <w:spacing w:line="400" w:lineRule="exact"/>
              <w:jc w:val="left"/>
              <w:rPr>
                <w:rFonts w:asciiTheme="majorEastAsia" w:hAnsiTheme="majorEastAsia" w:eastAsiaTheme="majorEastAsia" w:cstheme="majorEastAsia"/>
                <w:sz w:val="30"/>
                <w:szCs w:val="30"/>
              </w:rPr>
            </w:pPr>
            <w:r>
              <w:rPr>
                <w:rFonts w:hint="eastAsia" w:ascii="黑体" w:hAnsi="黑体" w:eastAsia="黑体" w:cs="黑体"/>
                <w:color w:val="000000"/>
                <w:kern w:val="0"/>
                <w:sz w:val="30"/>
                <w:szCs w:val="30"/>
                <w:lang w:eastAsia="zh-Hans"/>
              </w:rPr>
              <w:t>四、</w:t>
            </w:r>
            <w:r>
              <w:rPr>
                <w:rFonts w:hint="eastAsia" w:ascii="黑体" w:hAnsi="黑体" w:eastAsia="黑体" w:cs="黑体"/>
                <w:color w:val="000000"/>
                <w:kern w:val="0"/>
                <w:sz w:val="30"/>
                <w:szCs w:val="30"/>
              </w:rPr>
              <w:t>健全信访投诉工作制度，依法有效化解矛盾纠纷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1124" w:type="dxa"/>
            <w:vMerge w:val="restart"/>
            <w:vAlign w:val="center"/>
          </w:tcPr>
          <w:p>
            <w:pPr>
              <w:spacing w:line="400" w:lineRule="exact"/>
              <w:jc w:val="center"/>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12</w:t>
            </w:r>
          </w:p>
        </w:tc>
        <w:tc>
          <w:tcPr>
            <w:tcW w:w="2357" w:type="dxa"/>
            <w:vMerge w:val="restart"/>
            <w:vAlign w:val="center"/>
          </w:tcPr>
          <w:p>
            <w:pPr>
              <w:spacing w:line="400" w:lineRule="exac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加强行政复议、行政应诉和行政调解工作</w:t>
            </w:r>
          </w:p>
        </w:tc>
        <w:tc>
          <w:tcPr>
            <w:tcW w:w="8563" w:type="dxa"/>
          </w:tcPr>
          <w:p>
            <w:pPr>
              <w:spacing w:line="400" w:lineRule="exac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color w:val="000000"/>
                <w:sz w:val="30"/>
                <w:szCs w:val="30"/>
              </w:rPr>
              <w:t>建立医疗保障部门行政复议和行政应诉工作规则，坚决纠正违法或不当行政行为。</w:t>
            </w:r>
          </w:p>
        </w:tc>
        <w:tc>
          <w:tcPr>
            <w:tcW w:w="2119" w:type="dxa"/>
          </w:tcPr>
          <w:p>
            <w:pPr>
              <w:spacing w:line="400" w:lineRule="exact"/>
              <w:jc w:val="left"/>
              <w:rPr>
                <w:rFonts w:hint="eastAsia"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val="en-US" w:eastAsia="zh-CN"/>
              </w:rPr>
              <w:t>办公室（法规）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trPr>
        <w:tc>
          <w:tcPr>
            <w:tcW w:w="1124" w:type="dxa"/>
            <w:vMerge w:val="continue"/>
            <w:vAlign w:val="center"/>
          </w:tcPr>
          <w:p>
            <w:pPr>
              <w:spacing w:line="400" w:lineRule="exact"/>
              <w:ind w:firstLine="600" w:firstLineChars="200"/>
              <w:jc w:val="center"/>
              <w:rPr>
                <w:rFonts w:asciiTheme="majorEastAsia" w:hAnsiTheme="majorEastAsia" w:eastAsiaTheme="majorEastAsia" w:cstheme="majorEastAsia"/>
                <w:sz w:val="30"/>
                <w:szCs w:val="30"/>
              </w:rPr>
            </w:pPr>
          </w:p>
        </w:tc>
        <w:tc>
          <w:tcPr>
            <w:tcW w:w="2357" w:type="dxa"/>
            <w:vMerge w:val="continue"/>
            <w:vAlign w:val="center"/>
          </w:tcPr>
          <w:p>
            <w:pPr>
              <w:spacing w:line="400" w:lineRule="exact"/>
              <w:rPr>
                <w:rFonts w:asciiTheme="majorEastAsia" w:hAnsiTheme="majorEastAsia" w:eastAsiaTheme="majorEastAsia" w:cstheme="majorEastAsia"/>
                <w:sz w:val="30"/>
                <w:szCs w:val="30"/>
              </w:rPr>
            </w:pPr>
          </w:p>
        </w:tc>
        <w:tc>
          <w:tcPr>
            <w:tcW w:w="8563" w:type="dxa"/>
          </w:tcPr>
          <w:p>
            <w:pPr>
              <w:spacing w:line="400" w:lineRule="exact"/>
              <w:rPr>
                <w:rFonts w:asciiTheme="majorEastAsia" w:hAnsiTheme="majorEastAsia" w:eastAsiaTheme="majorEastAsia" w:cstheme="majorEastAsia"/>
                <w:color w:val="000000"/>
                <w:sz w:val="30"/>
                <w:szCs w:val="30"/>
              </w:rPr>
            </w:pPr>
            <w:r>
              <w:rPr>
                <w:rFonts w:hint="eastAsia" w:asciiTheme="majorEastAsia" w:hAnsiTheme="majorEastAsia" w:eastAsiaTheme="majorEastAsia" w:cstheme="majorEastAsia"/>
                <w:color w:val="000000"/>
                <w:sz w:val="30"/>
                <w:szCs w:val="30"/>
              </w:rPr>
              <w:t>推行重大案件行政负责人出庭应诉规定，加强行政复议和行政诉讼案件分析研判和风险提示，进一步提高行政复议和行政诉讼工作水平。</w:t>
            </w:r>
          </w:p>
        </w:tc>
        <w:tc>
          <w:tcPr>
            <w:tcW w:w="2119" w:type="dxa"/>
          </w:tcPr>
          <w:p>
            <w:pPr>
              <w:spacing w:line="400" w:lineRule="exact"/>
              <w:jc w:val="left"/>
              <w:rPr>
                <w:rFonts w:hint="eastAsia"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val="en-US" w:eastAsia="zh-CN"/>
              </w:rPr>
              <w:t>办公室（法规）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124" w:type="dxa"/>
            <w:vMerge w:val="restart"/>
            <w:vAlign w:val="center"/>
          </w:tcPr>
          <w:p>
            <w:pPr>
              <w:spacing w:line="400" w:lineRule="exact"/>
              <w:jc w:val="center"/>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13</w:t>
            </w:r>
          </w:p>
        </w:tc>
        <w:tc>
          <w:tcPr>
            <w:tcW w:w="2357" w:type="dxa"/>
            <w:vMerge w:val="restart"/>
            <w:vAlign w:val="center"/>
          </w:tcPr>
          <w:p>
            <w:pPr>
              <w:spacing w:line="400" w:lineRule="exac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color w:val="000000"/>
                <w:sz w:val="30"/>
                <w:szCs w:val="30"/>
              </w:rPr>
              <w:t>建立医保咨询服务热线工作体系</w:t>
            </w:r>
          </w:p>
        </w:tc>
        <w:tc>
          <w:tcPr>
            <w:tcW w:w="8563" w:type="dxa"/>
          </w:tcPr>
          <w:p>
            <w:pPr>
              <w:spacing w:line="400" w:lineRule="exact"/>
              <w:rPr>
                <w:rFonts w:asciiTheme="majorEastAsia" w:hAnsiTheme="majorEastAsia" w:eastAsiaTheme="majorEastAsia" w:cstheme="majorEastAsia"/>
                <w:color w:val="000000"/>
                <w:sz w:val="30"/>
                <w:szCs w:val="30"/>
              </w:rPr>
            </w:pPr>
            <w:r>
              <w:rPr>
                <w:rFonts w:hint="eastAsia" w:asciiTheme="majorEastAsia" w:hAnsiTheme="majorEastAsia" w:eastAsiaTheme="majorEastAsia" w:cstheme="majorEastAsia"/>
                <w:color w:val="000000"/>
                <w:sz w:val="30"/>
                <w:szCs w:val="30"/>
              </w:rPr>
              <w:t>建立完善与“12345”便民服务热线协作机制，构建医保部门独立的咨询服务处办系统。</w:t>
            </w:r>
          </w:p>
        </w:tc>
        <w:tc>
          <w:tcPr>
            <w:tcW w:w="2119" w:type="dxa"/>
          </w:tcPr>
          <w:p>
            <w:pPr>
              <w:spacing w:line="400" w:lineRule="exact"/>
              <w:jc w:val="left"/>
              <w:rPr>
                <w:rFonts w:hint="eastAsia"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val="en-US" w:eastAsia="zh-CN"/>
              </w:rPr>
              <w:t>办公室（法规）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1124" w:type="dxa"/>
            <w:vMerge w:val="continue"/>
            <w:vAlign w:val="center"/>
          </w:tcPr>
          <w:p>
            <w:pPr>
              <w:spacing w:line="400" w:lineRule="exact"/>
              <w:ind w:firstLine="600" w:firstLineChars="200"/>
              <w:jc w:val="center"/>
              <w:rPr>
                <w:rFonts w:asciiTheme="majorEastAsia" w:hAnsiTheme="majorEastAsia" w:eastAsiaTheme="majorEastAsia" w:cstheme="majorEastAsia"/>
                <w:sz w:val="30"/>
                <w:szCs w:val="30"/>
              </w:rPr>
            </w:pPr>
          </w:p>
        </w:tc>
        <w:tc>
          <w:tcPr>
            <w:tcW w:w="2357" w:type="dxa"/>
            <w:vMerge w:val="continue"/>
            <w:vAlign w:val="center"/>
          </w:tcPr>
          <w:p>
            <w:pPr>
              <w:spacing w:line="400" w:lineRule="exact"/>
              <w:rPr>
                <w:rFonts w:asciiTheme="majorEastAsia" w:hAnsiTheme="majorEastAsia" w:eastAsiaTheme="majorEastAsia" w:cstheme="majorEastAsia"/>
                <w:color w:val="000000"/>
                <w:sz w:val="30"/>
                <w:szCs w:val="30"/>
              </w:rPr>
            </w:pPr>
          </w:p>
        </w:tc>
        <w:tc>
          <w:tcPr>
            <w:tcW w:w="8563" w:type="dxa"/>
          </w:tcPr>
          <w:p>
            <w:pPr>
              <w:spacing w:line="400" w:lineRule="exact"/>
              <w:rPr>
                <w:rFonts w:asciiTheme="majorEastAsia" w:hAnsiTheme="majorEastAsia" w:eastAsiaTheme="majorEastAsia" w:cstheme="majorEastAsia"/>
                <w:color w:val="000000"/>
                <w:sz w:val="30"/>
                <w:szCs w:val="30"/>
              </w:rPr>
            </w:pPr>
            <w:r>
              <w:rPr>
                <w:rFonts w:hint="eastAsia" w:asciiTheme="majorEastAsia" w:hAnsiTheme="majorEastAsia" w:eastAsiaTheme="majorEastAsia" w:cstheme="majorEastAsia"/>
                <w:color w:val="000000"/>
                <w:sz w:val="30"/>
                <w:szCs w:val="30"/>
              </w:rPr>
              <w:t>探索建立医疗保障矛盾纠纷利益表达机制、协商沟通机制，加强行政调解和行政指导工作。</w:t>
            </w:r>
          </w:p>
        </w:tc>
        <w:tc>
          <w:tcPr>
            <w:tcW w:w="2119" w:type="dxa"/>
          </w:tcPr>
          <w:p>
            <w:pPr>
              <w:spacing w:line="400" w:lineRule="exact"/>
              <w:jc w:val="left"/>
              <w:rPr>
                <w:rFonts w:hint="default"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val="en-US" w:eastAsia="zh-CN"/>
              </w:rPr>
              <w:t>办公室（法规）、各有关处室、分局、市医保中心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5" w:hRule="atLeast"/>
        </w:trPr>
        <w:tc>
          <w:tcPr>
            <w:tcW w:w="1124" w:type="dxa"/>
            <w:vMerge w:val="restart"/>
            <w:vAlign w:val="center"/>
          </w:tcPr>
          <w:p>
            <w:pPr>
              <w:spacing w:line="400" w:lineRule="exact"/>
              <w:jc w:val="center"/>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14</w:t>
            </w:r>
          </w:p>
        </w:tc>
        <w:tc>
          <w:tcPr>
            <w:tcW w:w="2357" w:type="dxa"/>
            <w:vMerge w:val="restart"/>
            <w:vAlign w:val="center"/>
          </w:tcPr>
          <w:p>
            <w:pPr>
              <w:spacing w:line="400" w:lineRule="exact"/>
              <w:rPr>
                <w:rFonts w:asciiTheme="majorEastAsia" w:hAnsiTheme="majorEastAsia" w:eastAsiaTheme="majorEastAsia" w:cstheme="majorEastAsia"/>
                <w:color w:val="000000"/>
                <w:sz w:val="30"/>
                <w:szCs w:val="30"/>
              </w:rPr>
            </w:pPr>
            <w:r>
              <w:rPr>
                <w:rFonts w:hint="eastAsia" w:asciiTheme="majorEastAsia" w:hAnsiTheme="majorEastAsia" w:eastAsiaTheme="majorEastAsia" w:cstheme="majorEastAsia"/>
                <w:color w:val="000000"/>
                <w:sz w:val="30"/>
                <w:szCs w:val="30"/>
              </w:rPr>
              <w:t>健全信访处办制度</w:t>
            </w:r>
          </w:p>
        </w:tc>
        <w:tc>
          <w:tcPr>
            <w:tcW w:w="8563" w:type="dxa"/>
          </w:tcPr>
          <w:p>
            <w:pPr>
              <w:spacing w:line="400" w:lineRule="exact"/>
              <w:rPr>
                <w:rFonts w:asciiTheme="majorEastAsia" w:hAnsiTheme="majorEastAsia" w:eastAsiaTheme="majorEastAsia" w:cstheme="majorEastAsia"/>
                <w:color w:val="000000"/>
                <w:sz w:val="30"/>
                <w:szCs w:val="30"/>
              </w:rPr>
            </w:pPr>
            <w:r>
              <w:rPr>
                <w:rFonts w:hint="eastAsia" w:asciiTheme="majorEastAsia" w:hAnsiTheme="majorEastAsia" w:eastAsiaTheme="majorEastAsia" w:cstheme="majorEastAsia"/>
                <w:color w:val="000000"/>
                <w:sz w:val="30"/>
                <w:szCs w:val="30"/>
              </w:rPr>
              <w:t>制定统一的医保部门信访工作制度，明确信访工作机构和办理程序，将领导信箱、部门信箱、公众监督等渠道的信访办件纳入规范管理。</w:t>
            </w:r>
          </w:p>
        </w:tc>
        <w:tc>
          <w:tcPr>
            <w:tcW w:w="2119" w:type="dxa"/>
          </w:tcPr>
          <w:p>
            <w:pPr>
              <w:spacing w:line="400" w:lineRule="exact"/>
              <w:jc w:val="left"/>
              <w:rPr>
                <w:rFonts w:hint="eastAsia"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val="en-US" w:eastAsia="zh-CN"/>
              </w:rPr>
              <w:t>办公室（法规）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atLeast"/>
        </w:trPr>
        <w:tc>
          <w:tcPr>
            <w:tcW w:w="1124" w:type="dxa"/>
            <w:vMerge w:val="continue"/>
            <w:vAlign w:val="center"/>
          </w:tcPr>
          <w:p>
            <w:pPr>
              <w:spacing w:line="400" w:lineRule="exact"/>
              <w:ind w:firstLine="600" w:firstLineChars="200"/>
              <w:jc w:val="center"/>
              <w:rPr>
                <w:rFonts w:asciiTheme="majorEastAsia" w:hAnsiTheme="majorEastAsia" w:eastAsiaTheme="majorEastAsia" w:cstheme="majorEastAsia"/>
                <w:sz w:val="30"/>
                <w:szCs w:val="30"/>
              </w:rPr>
            </w:pPr>
          </w:p>
        </w:tc>
        <w:tc>
          <w:tcPr>
            <w:tcW w:w="2357" w:type="dxa"/>
            <w:vMerge w:val="continue"/>
            <w:vAlign w:val="center"/>
          </w:tcPr>
          <w:p>
            <w:pPr>
              <w:spacing w:line="400" w:lineRule="exact"/>
              <w:rPr>
                <w:rFonts w:asciiTheme="majorEastAsia" w:hAnsiTheme="majorEastAsia" w:eastAsiaTheme="majorEastAsia" w:cstheme="majorEastAsia"/>
                <w:color w:val="000000"/>
                <w:sz w:val="30"/>
                <w:szCs w:val="30"/>
              </w:rPr>
            </w:pPr>
          </w:p>
        </w:tc>
        <w:tc>
          <w:tcPr>
            <w:tcW w:w="8563" w:type="dxa"/>
          </w:tcPr>
          <w:p>
            <w:pPr>
              <w:spacing w:line="400" w:lineRule="exact"/>
              <w:rPr>
                <w:rFonts w:asciiTheme="majorEastAsia" w:hAnsiTheme="majorEastAsia" w:eastAsiaTheme="majorEastAsia" w:cstheme="majorEastAsia"/>
                <w:color w:val="000000"/>
                <w:sz w:val="30"/>
                <w:szCs w:val="30"/>
              </w:rPr>
            </w:pPr>
            <w:r>
              <w:rPr>
                <w:rFonts w:hint="eastAsia" w:asciiTheme="majorEastAsia" w:hAnsiTheme="majorEastAsia" w:eastAsiaTheme="majorEastAsia" w:cstheme="majorEastAsia"/>
                <w:color w:val="000000"/>
                <w:sz w:val="30"/>
                <w:szCs w:val="30"/>
              </w:rPr>
              <w:t>加强信访投诉办件的分析研判，定期开展医保领域突出问题矛盾排查化解工作，加强研判结果运用，强化属地管理和源头治理。</w:t>
            </w:r>
          </w:p>
        </w:tc>
        <w:tc>
          <w:tcPr>
            <w:tcW w:w="2119" w:type="dxa"/>
          </w:tcPr>
          <w:p>
            <w:pPr>
              <w:spacing w:line="400" w:lineRule="exact"/>
              <w:jc w:val="left"/>
              <w:rPr>
                <w:rFonts w:hint="eastAsia"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val="en-US" w:eastAsia="zh-CN"/>
              </w:rPr>
              <w:t>办公室（法规）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trPr>
        <w:tc>
          <w:tcPr>
            <w:tcW w:w="1124" w:type="dxa"/>
            <w:vMerge w:val="continue"/>
            <w:vAlign w:val="center"/>
          </w:tcPr>
          <w:p>
            <w:pPr>
              <w:spacing w:line="400" w:lineRule="exact"/>
              <w:ind w:firstLine="600" w:firstLineChars="200"/>
              <w:jc w:val="center"/>
              <w:rPr>
                <w:rFonts w:asciiTheme="majorEastAsia" w:hAnsiTheme="majorEastAsia" w:eastAsiaTheme="majorEastAsia" w:cstheme="majorEastAsia"/>
                <w:sz w:val="30"/>
                <w:szCs w:val="30"/>
              </w:rPr>
            </w:pPr>
          </w:p>
        </w:tc>
        <w:tc>
          <w:tcPr>
            <w:tcW w:w="2357" w:type="dxa"/>
            <w:vMerge w:val="continue"/>
            <w:vAlign w:val="center"/>
          </w:tcPr>
          <w:p>
            <w:pPr>
              <w:spacing w:line="400" w:lineRule="exact"/>
              <w:rPr>
                <w:rFonts w:asciiTheme="majorEastAsia" w:hAnsiTheme="majorEastAsia" w:eastAsiaTheme="majorEastAsia" w:cstheme="majorEastAsia"/>
                <w:color w:val="000000"/>
                <w:sz w:val="30"/>
                <w:szCs w:val="30"/>
              </w:rPr>
            </w:pPr>
          </w:p>
        </w:tc>
        <w:tc>
          <w:tcPr>
            <w:tcW w:w="8563" w:type="dxa"/>
          </w:tcPr>
          <w:p>
            <w:pPr>
              <w:spacing w:line="400" w:lineRule="exact"/>
              <w:rPr>
                <w:rFonts w:asciiTheme="majorEastAsia" w:hAnsiTheme="majorEastAsia" w:eastAsiaTheme="majorEastAsia" w:cstheme="majorEastAsia"/>
                <w:color w:val="000000"/>
                <w:sz w:val="30"/>
                <w:szCs w:val="30"/>
              </w:rPr>
            </w:pPr>
            <w:r>
              <w:rPr>
                <w:rFonts w:hint="eastAsia" w:asciiTheme="majorEastAsia" w:hAnsiTheme="majorEastAsia" w:eastAsiaTheme="majorEastAsia" w:cstheme="majorEastAsia"/>
                <w:color w:val="000000"/>
                <w:sz w:val="30"/>
                <w:szCs w:val="30"/>
              </w:rPr>
              <w:t>落实信访投诉办理与执法联动机制，将信访处理情况纳入定点医药机构协议管理，作为定点单位考核依据。</w:t>
            </w:r>
          </w:p>
        </w:tc>
        <w:tc>
          <w:tcPr>
            <w:tcW w:w="2119" w:type="dxa"/>
          </w:tcPr>
          <w:p>
            <w:pPr>
              <w:spacing w:line="400" w:lineRule="exact"/>
              <w:jc w:val="left"/>
              <w:rPr>
                <w:rFonts w:hint="eastAsia"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val="en-US" w:eastAsia="zh-CN"/>
              </w:rPr>
              <w:t>办公室（法规）、基金监督处、市医保中心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4163" w:type="dxa"/>
            <w:gridSpan w:val="4"/>
            <w:vAlign w:val="center"/>
          </w:tcPr>
          <w:p>
            <w:pPr>
              <w:spacing w:line="400" w:lineRule="exact"/>
              <w:jc w:val="left"/>
              <w:rPr>
                <w:rFonts w:asciiTheme="majorEastAsia" w:hAnsiTheme="majorEastAsia" w:eastAsiaTheme="majorEastAsia" w:cstheme="majorEastAsia"/>
                <w:sz w:val="30"/>
                <w:szCs w:val="30"/>
              </w:rPr>
            </w:pPr>
            <w:r>
              <w:rPr>
                <w:rFonts w:hint="eastAsia" w:ascii="黑体" w:hAnsi="黑体" w:eastAsia="黑体" w:cs="黑体"/>
                <w:color w:val="000000"/>
                <w:kern w:val="0"/>
                <w:sz w:val="30"/>
                <w:szCs w:val="30"/>
                <w:lang w:eastAsia="zh-Hans"/>
              </w:rPr>
              <w:t>五、</w:t>
            </w:r>
            <w:r>
              <w:rPr>
                <w:rFonts w:hint="eastAsia" w:ascii="黑体" w:hAnsi="黑体" w:eastAsia="黑体" w:cs="黑体"/>
                <w:color w:val="000000"/>
                <w:kern w:val="0"/>
                <w:sz w:val="30"/>
                <w:szCs w:val="30"/>
              </w:rPr>
              <w:t>突出党建引领，强化法治政府建设组织保障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6" w:hRule="atLeast"/>
        </w:trPr>
        <w:tc>
          <w:tcPr>
            <w:tcW w:w="1124" w:type="dxa"/>
            <w:vMerge w:val="restart"/>
            <w:vAlign w:val="center"/>
          </w:tcPr>
          <w:p>
            <w:pPr>
              <w:spacing w:line="400" w:lineRule="exact"/>
              <w:jc w:val="center"/>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15</w:t>
            </w:r>
          </w:p>
        </w:tc>
        <w:tc>
          <w:tcPr>
            <w:tcW w:w="2357" w:type="dxa"/>
            <w:vMerge w:val="restart"/>
            <w:vAlign w:val="center"/>
          </w:tcPr>
          <w:p>
            <w:pPr>
              <w:spacing w:line="400" w:lineRule="exact"/>
              <w:rPr>
                <w:rFonts w:asciiTheme="majorEastAsia" w:hAnsiTheme="majorEastAsia" w:eastAsiaTheme="majorEastAsia" w:cstheme="majorEastAsia"/>
                <w:color w:val="000000"/>
                <w:sz w:val="30"/>
                <w:szCs w:val="30"/>
              </w:rPr>
            </w:pPr>
            <w:r>
              <w:rPr>
                <w:rFonts w:hint="eastAsia" w:asciiTheme="majorEastAsia" w:hAnsiTheme="majorEastAsia" w:eastAsiaTheme="majorEastAsia" w:cstheme="majorEastAsia"/>
                <w:sz w:val="30"/>
                <w:szCs w:val="30"/>
              </w:rPr>
              <w:t>强化主体责任，提升领导干部法治思维能力</w:t>
            </w:r>
          </w:p>
        </w:tc>
        <w:tc>
          <w:tcPr>
            <w:tcW w:w="8563" w:type="dxa"/>
          </w:tcPr>
          <w:p>
            <w:pPr>
              <w:spacing w:line="400" w:lineRule="exact"/>
              <w:rPr>
                <w:rFonts w:asciiTheme="majorEastAsia" w:hAnsiTheme="majorEastAsia" w:eastAsiaTheme="majorEastAsia" w:cstheme="majorEastAsia"/>
                <w:color w:val="000000"/>
                <w:sz w:val="30"/>
                <w:szCs w:val="30"/>
              </w:rPr>
            </w:pPr>
            <w:r>
              <w:rPr>
                <w:rFonts w:hint="eastAsia" w:asciiTheme="majorEastAsia" w:hAnsiTheme="majorEastAsia" w:eastAsiaTheme="majorEastAsia" w:cstheme="majorEastAsia"/>
                <w:color w:val="000000"/>
                <w:sz w:val="30"/>
                <w:szCs w:val="30"/>
              </w:rPr>
              <w:t>坚持把党的领导贯彻到法治政府建设各方面，夯实法治政府建设责任制，认真履行部门主要负责人推进法治政府建设第一责任人职责，年内局领导班子专题听取法治政府建设情况汇报不少于2次，中心组集中学法不少于4次。</w:t>
            </w:r>
          </w:p>
        </w:tc>
        <w:tc>
          <w:tcPr>
            <w:tcW w:w="2119" w:type="dxa"/>
          </w:tcPr>
          <w:p>
            <w:pPr>
              <w:spacing w:line="400" w:lineRule="exact"/>
              <w:jc w:val="left"/>
              <w:rPr>
                <w:rFonts w:hint="default" w:asciiTheme="majorEastAsia" w:hAnsiTheme="majorEastAsia" w:eastAsiaTheme="majorEastAsia" w:cstheme="majorEastAsia"/>
                <w:sz w:val="30"/>
                <w:szCs w:val="30"/>
                <w:lang w:val="en-US"/>
              </w:rPr>
            </w:pPr>
            <w:r>
              <w:rPr>
                <w:rFonts w:hint="eastAsia" w:asciiTheme="majorEastAsia" w:hAnsiTheme="majorEastAsia" w:eastAsiaTheme="majorEastAsia" w:cstheme="majorEastAsia"/>
                <w:sz w:val="30"/>
                <w:szCs w:val="30"/>
                <w:lang w:val="en-US" w:eastAsia="zh-CN"/>
              </w:rPr>
              <w:t>办公室（法规）、机关党委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trPr>
        <w:tc>
          <w:tcPr>
            <w:tcW w:w="1124" w:type="dxa"/>
            <w:vMerge w:val="continue"/>
            <w:vAlign w:val="center"/>
          </w:tcPr>
          <w:p>
            <w:pPr>
              <w:spacing w:line="400" w:lineRule="exact"/>
              <w:ind w:firstLine="600" w:firstLineChars="200"/>
              <w:jc w:val="center"/>
              <w:rPr>
                <w:rFonts w:asciiTheme="majorEastAsia" w:hAnsiTheme="majorEastAsia" w:eastAsiaTheme="majorEastAsia" w:cstheme="majorEastAsia"/>
                <w:sz w:val="30"/>
                <w:szCs w:val="30"/>
              </w:rPr>
            </w:pPr>
          </w:p>
        </w:tc>
        <w:tc>
          <w:tcPr>
            <w:tcW w:w="2357" w:type="dxa"/>
            <w:vMerge w:val="continue"/>
            <w:vAlign w:val="center"/>
          </w:tcPr>
          <w:p>
            <w:pPr>
              <w:spacing w:line="400" w:lineRule="exact"/>
              <w:rPr>
                <w:rFonts w:asciiTheme="majorEastAsia" w:hAnsiTheme="majorEastAsia" w:eastAsiaTheme="majorEastAsia" w:cstheme="majorEastAsia"/>
                <w:sz w:val="30"/>
                <w:szCs w:val="30"/>
              </w:rPr>
            </w:pPr>
          </w:p>
        </w:tc>
        <w:tc>
          <w:tcPr>
            <w:tcW w:w="8563" w:type="dxa"/>
          </w:tcPr>
          <w:p>
            <w:pPr>
              <w:spacing w:line="400" w:lineRule="exact"/>
              <w:rPr>
                <w:rFonts w:asciiTheme="majorEastAsia" w:hAnsiTheme="majorEastAsia" w:eastAsiaTheme="majorEastAsia" w:cstheme="majorEastAsia"/>
                <w:color w:val="000000"/>
                <w:sz w:val="30"/>
                <w:szCs w:val="30"/>
              </w:rPr>
            </w:pPr>
            <w:r>
              <w:rPr>
                <w:rFonts w:hint="eastAsia" w:asciiTheme="majorEastAsia" w:hAnsiTheme="majorEastAsia" w:eastAsiaTheme="majorEastAsia" w:cstheme="majorEastAsia"/>
                <w:sz w:val="30"/>
                <w:szCs w:val="30"/>
                <w:lang w:val="zh-CN"/>
              </w:rPr>
              <w:t>落实领导干部任职前法律知识考查和依法行政能力测试制度，中层正职任职前考查其依法行政工作情况，进行相关法律知识测试，考查、测试结果作为任职依据。</w:t>
            </w:r>
          </w:p>
        </w:tc>
        <w:tc>
          <w:tcPr>
            <w:tcW w:w="2119" w:type="dxa"/>
          </w:tcPr>
          <w:p>
            <w:pPr>
              <w:spacing w:line="400" w:lineRule="exact"/>
              <w:jc w:val="lef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t>办公室（法规）、机关党委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124" w:type="dxa"/>
            <w:vMerge w:val="continue"/>
            <w:vAlign w:val="center"/>
          </w:tcPr>
          <w:p>
            <w:pPr>
              <w:spacing w:line="400" w:lineRule="exact"/>
              <w:ind w:firstLine="600" w:firstLineChars="200"/>
              <w:jc w:val="center"/>
              <w:rPr>
                <w:rFonts w:asciiTheme="majorEastAsia" w:hAnsiTheme="majorEastAsia" w:eastAsiaTheme="majorEastAsia" w:cstheme="majorEastAsia"/>
                <w:sz w:val="30"/>
                <w:szCs w:val="30"/>
              </w:rPr>
            </w:pPr>
          </w:p>
        </w:tc>
        <w:tc>
          <w:tcPr>
            <w:tcW w:w="2357" w:type="dxa"/>
            <w:vMerge w:val="continue"/>
            <w:vAlign w:val="center"/>
          </w:tcPr>
          <w:p>
            <w:pPr>
              <w:spacing w:line="400" w:lineRule="exact"/>
              <w:rPr>
                <w:rFonts w:asciiTheme="majorEastAsia" w:hAnsiTheme="majorEastAsia" w:eastAsiaTheme="majorEastAsia" w:cstheme="majorEastAsia"/>
                <w:sz w:val="30"/>
                <w:szCs w:val="30"/>
              </w:rPr>
            </w:pPr>
          </w:p>
        </w:tc>
        <w:tc>
          <w:tcPr>
            <w:tcW w:w="8563" w:type="dxa"/>
          </w:tcPr>
          <w:p>
            <w:pPr>
              <w:spacing w:line="400" w:lineRule="exact"/>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rPr>
              <w:t>落实国家工作人员宪法宣誓要求，开展《宪法》宣誓活动。</w:t>
            </w:r>
          </w:p>
        </w:tc>
        <w:tc>
          <w:tcPr>
            <w:tcW w:w="2119" w:type="dxa"/>
          </w:tcPr>
          <w:p>
            <w:pPr>
              <w:spacing w:line="400" w:lineRule="exact"/>
              <w:jc w:val="lef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t>机关党委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trPr>
        <w:tc>
          <w:tcPr>
            <w:tcW w:w="1124" w:type="dxa"/>
            <w:vMerge w:val="restart"/>
            <w:vAlign w:val="center"/>
          </w:tcPr>
          <w:p>
            <w:pPr>
              <w:spacing w:line="400" w:lineRule="exact"/>
              <w:jc w:val="center"/>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16</w:t>
            </w:r>
          </w:p>
        </w:tc>
        <w:tc>
          <w:tcPr>
            <w:tcW w:w="2357" w:type="dxa"/>
            <w:vMerge w:val="restart"/>
            <w:vAlign w:val="center"/>
          </w:tcPr>
          <w:p>
            <w:pPr>
              <w:spacing w:line="400" w:lineRule="exac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突出学法用法，提升医保部门依法行政能力</w:t>
            </w:r>
          </w:p>
        </w:tc>
        <w:tc>
          <w:tcPr>
            <w:tcW w:w="8563" w:type="dxa"/>
          </w:tcPr>
          <w:p>
            <w:pPr>
              <w:spacing w:line="400" w:lineRule="exac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将法治培训有关内容纳入医保部门干部培训重要内容，通过专题讲座、在线学习、主题党日学习、执法人员培训等方式，</w:t>
            </w:r>
            <w:r>
              <w:rPr>
                <w:rFonts w:hint="eastAsia" w:asciiTheme="majorEastAsia" w:hAnsiTheme="majorEastAsia" w:eastAsiaTheme="majorEastAsia" w:cstheme="majorEastAsia"/>
                <w:kern w:val="0"/>
                <w:sz w:val="30"/>
                <w:szCs w:val="30"/>
              </w:rPr>
              <w:t>针对医疗保障领域重要法律规范、行政执法程序、法律风险防范、行政规范性文件制定、政策性文件公平竞争审查等方面开展专题培训，年内组织专题培训不少于4次。</w:t>
            </w:r>
          </w:p>
        </w:tc>
        <w:tc>
          <w:tcPr>
            <w:tcW w:w="2119" w:type="dxa"/>
          </w:tcPr>
          <w:p>
            <w:pPr>
              <w:spacing w:line="400" w:lineRule="exact"/>
              <w:jc w:val="lef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t>办公室（法规）、机关党委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1124" w:type="dxa"/>
            <w:vMerge w:val="continue"/>
            <w:vAlign w:val="center"/>
          </w:tcPr>
          <w:p>
            <w:pPr>
              <w:spacing w:line="400" w:lineRule="exact"/>
              <w:jc w:val="center"/>
              <w:rPr>
                <w:rFonts w:asciiTheme="majorEastAsia" w:hAnsiTheme="majorEastAsia" w:eastAsiaTheme="majorEastAsia" w:cstheme="majorEastAsia"/>
                <w:sz w:val="30"/>
                <w:szCs w:val="30"/>
              </w:rPr>
            </w:pPr>
          </w:p>
        </w:tc>
        <w:tc>
          <w:tcPr>
            <w:tcW w:w="2357" w:type="dxa"/>
            <w:vMerge w:val="continue"/>
            <w:vAlign w:val="center"/>
          </w:tcPr>
          <w:p>
            <w:pPr>
              <w:spacing w:line="400" w:lineRule="exact"/>
              <w:rPr>
                <w:rFonts w:asciiTheme="majorEastAsia" w:hAnsiTheme="majorEastAsia" w:eastAsiaTheme="majorEastAsia" w:cstheme="majorEastAsia"/>
                <w:sz w:val="30"/>
                <w:szCs w:val="30"/>
              </w:rPr>
            </w:pPr>
          </w:p>
        </w:tc>
        <w:tc>
          <w:tcPr>
            <w:tcW w:w="8563" w:type="dxa"/>
          </w:tcPr>
          <w:p>
            <w:pPr>
              <w:spacing w:line="400" w:lineRule="exac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kern w:val="0"/>
                <w:sz w:val="30"/>
                <w:szCs w:val="30"/>
              </w:rPr>
              <w:t>落实国家工作人员旁听庭审制度，年内组织旁听庭审活动不少于1次。</w:t>
            </w:r>
          </w:p>
        </w:tc>
        <w:tc>
          <w:tcPr>
            <w:tcW w:w="2119" w:type="dxa"/>
          </w:tcPr>
          <w:p>
            <w:pPr>
              <w:spacing w:line="400" w:lineRule="exact"/>
              <w:jc w:val="lef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t>办公室（法规）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1" w:hRule="atLeast"/>
        </w:trPr>
        <w:tc>
          <w:tcPr>
            <w:tcW w:w="1124" w:type="dxa"/>
            <w:vAlign w:val="center"/>
          </w:tcPr>
          <w:p>
            <w:pPr>
              <w:spacing w:line="400" w:lineRule="exact"/>
              <w:jc w:val="center"/>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17</w:t>
            </w:r>
          </w:p>
        </w:tc>
        <w:tc>
          <w:tcPr>
            <w:tcW w:w="2357" w:type="dxa"/>
            <w:vAlign w:val="center"/>
          </w:tcPr>
          <w:p>
            <w:pPr>
              <w:spacing w:line="400" w:lineRule="exac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深入普法宣传，落实医保部门普法责任</w:t>
            </w:r>
          </w:p>
        </w:tc>
        <w:tc>
          <w:tcPr>
            <w:tcW w:w="8563" w:type="dxa"/>
          </w:tcPr>
          <w:p>
            <w:pPr>
              <w:spacing w:line="400" w:lineRule="exact"/>
              <w:rPr>
                <w:rFonts w:asciiTheme="majorEastAsia" w:hAnsiTheme="majorEastAsia" w:eastAsiaTheme="majorEastAsia" w:cstheme="majorEastAsia"/>
                <w:kern w:val="0"/>
                <w:sz w:val="30"/>
                <w:szCs w:val="30"/>
              </w:rPr>
            </w:pPr>
            <w:r>
              <w:rPr>
                <w:rFonts w:hint="eastAsia" w:asciiTheme="majorEastAsia" w:hAnsiTheme="majorEastAsia" w:eastAsiaTheme="majorEastAsia" w:cstheme="majorEastAsia"/>
                <w:kern w:val="0"/>
                <w:sz w:val="30"/>
                <w:szCs w:val="30"/>
              </w:rPr>
              <w:t>全面落实“谁执法、谁普法”责任制，</w:t>
            </w:r>
            <w:r>
              <w:rPr>
                <w:rFonts w:hint="eastAsia" w:asciiTheme="majorEastAsia" w:hAnsiTheme="majorEastAsia" w:eastAsiaTheme="majorEastAsia" w:cstheme="majorEastAsia"/>
                <w:sz w:val="30"/>
                <w:szCs w:val="30"/>
              </w:rPr>
              <w:t>围绕医疗保障部门普法责任和2021年工作要点，认真落实“八五”普法计划，大力拓展宣传渠道阵地，丰富普法宣传形式，广泛宣传宪法和医疗保障法律法规、业务政策，突出医疗保障领域“一条例三规章”等年度重点任务，组织好4月“打击欺诈骗保集中宣传月”活动，营造全社会关注、支持医疗保障工作的良好氛围，为顺利推进医疗保障改革任务营造良好的法治环境。</w:t>
            </w:r>
          </w:p>
        </w:tc>
        <w:tc>
          <w:tcPr>
            <w:tcW w:w="2119" w:type="dxa"/>
          </w:tcPr>
          <w:p>
            <w:pPr>
              <w:spacing w:line="400" w:lineRule="exact"/>
              <w:jc w:val="lef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t>办公室（法规）、基金监督处、各有关处室、市医保中心</w:t>
            </w:r>
          </w:p>
        </w:tc>
      </w:tr>
    </w:tbl>
    <w:p>
      <w:pPr>
        <w:pStyle w:val="2"/>
        <w:rPr>
          <w:rFonts w:ascii="黑体" w:hAnsi="黑体" w:eastAsia="黑体" w:cs="黑体"/>
          <w:color w:val="000000"/>
          <w:sz w:val="36"/>
          <w:szCs w:val="36"/>
          <w:lang w:eastAsia="zh-Hans"/>
        </w:rPr>
      </w:pPr>
    </w:p>
    <w:p>
      <w:pPr>
        <w:pStyle w:val="2"/>
      </w:pPr>
    </w:p>
    <w:p>
      <w:pPr>
        <w:pStyle w:val="2"/>
      </w:pPr>
    </w:p>
    <w:p>
      <w:pPr>
        <w:pStyle w:val="2"/>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EEBF0D57"/>
    <w:rsid w:val="003F70C1"/>
    <w:rsid w:val="007603F0"/>
    <w:rsid w:val="00EC0ED5"/>
    <w:rsid w:val="0DFF1ECD"/>
    <w:rsid w:val="38E33042"/>
    <w:rsid w:val="759F1990"/>
    <w:rsid w:val="DFEDF00F"/>
    <w:rsid w:val="EEBF0D57"/>
    <w:rsid w:val="F7DE7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customStyle="1" w:styleId="2">
    <w:name w:val="无间隔1"/>
    <w:qFormat/>
    <w:uiPriority w:val="1"/>
    <w:pPr>
      <w:adjustRightInd w:val="0"/>
      <w:snapToGrid w:val="0"/>
    </w:pPr>
    <w:rPr>
      <w:rFonts w:ascii="Tahoma" w:hAnsi="Tahoma" w:eastAsia="微软雅黑" w:cs="Times New Roman"/>
      <w:sz w:val="22"/>
      <w:szCs w:val="22"/>
      <w:lang w:val="en-US" w:eastAsia="zh-CN" w:bidi="ar-SA"/>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7"/>
    <w:link w:val="4"/>
    <w:qFormat/>
    <w:uiPriority w:val="0"/>
    <w:rPr>
      <w:kern w:val="2"/>
      <w:sz w:val="18"/>
      <w:szCs w:val="18"/>
    </w:rPr>
  </w:style>
  <w:style w:type="character" w:customStyle="1" w:styleId="9">
    <w:name w:val="页脚 字符"/>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486</Words>
  <Characters>2773</Characters>
  <Lines>23</Lines>
  <Paragraphs>6</Paragraphs>
  <TotalTime>0</TotalTime>
  <ScaleCrop>false</ScaleCrop>
  <LinksUpToDate>false</LinksUpToDate>
  <CharactersWithSpaces>3253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2021-04-06T23:16:00Z</dcterms:created>
  <dc:creator>QN</dc:creator>
  <cp:lastModifiedBy>王志瑾</cp:lastModifiedBy>
  <dcterms:modified xsi:type="dcterms:W3CDTF">2021-04-08T08:49:11Z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