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附件1</w:t>
      </w:r>
      <w:r>
        <w:rPr>
          <w:rFonts w:hint="eastAsia" w:ascii="方正仿宋_GBK" w:hAnsi="方正仿宋_GBK" w:eastAsia="方正仿宋_GBK" w:cs="方正仿宋_GBK"/>
          <w:sz w:val="32"/>
          <w:szCs w:val="32"/>
          <w:lang w:eastAsia="zh-CN"/>
        </w:rPr>
        <w:t>：</w:t>
      </w:r>
    </w:p>
    <w:tbl>
      <w:tblPr>
        <w:tblStyle w:val="3"/>
        <w:tblpPr w:leftFromText="180" w:rightFromText="180" w:vertAnchor="text" w:horzAnchor="page" w:tblpXSpec="center" w:tblpY="910"/>
        <w:tblOverlap w:val="never"/>
        <w:tblW w:w="0" w:type="auto"/>
        <w:jc w:val="center"/>
        <w:tblLayout w:type="fixed"/>
        <w:tblCellMar>
          <w:top w:w="15" w:type="dxa"/>
          <w:left w:w="15" w:type="dxa"/>
          <w:bottom w:w="15" w:type="dxa"/>
          <w:right w:w="15" w:type="dxa"/>
        </w:tblCellMar>
      </w:tblPr>
      <w:tblGrid>
        <w:gridCol w:w="809"/>
        <w:gridCol w:w="1935"/>
        <w:gridCol w:w="1395"/>
        <w:gridCol w:w="1545"/>
        <w:gridCol w:w="7140"/>
      </w:tblGrid>
      <w:tr>
        <w:tblPrEx>
          <w:tblCellMar>
            <w:top w:w="15" w:type="dxa"/>
            <w:left w:w="15" w:type="dxa"/>
            <w:bottom w:w="15" w:type="dxa"/>
            <w:right w:w="15" w:type="dxa"/>
          </w:tblCellMar>
        </w:tblPrEx>
        <w:trPr>
          <w:cantSplit/>
          <w:trHeight w:val="630" w:hRule="atLeast"/>
          <w:jc w:val="center"/>
        </w:trPr>
        <w:tc>
          <w:tcPr>
            <w:tcW w:w="8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序号</w:t>
            </w:r>
          </w:p>
        </w:tc>
        <w:tc>
          <w:tcPr>
            <w:tcW w:w="19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服务项目</w:t>
            </w:r>
          </w:p>
        </w:tc>
        <w:tc>
          <w:tcPr>
            <w:tcW w:w="13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频  次</w:t>
            </w: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工  时</w:t>
            </w:r>
          </w:p>
        </w:tc>
        <w:tc>
          <w:tcPr>
            <w:tcW w:w="71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sz w:val="28"/>
                <w:szCs w:val="28"/>
              </w:rPr>
            </w:pPr>
            <w:r>
              <w:rPr>
                <w:rFonts w:hint="eastAsia" w:ascii="宋体" w:hAnsi="宋体" w:eastAsia="宋体" w:cs="宋体"/>
                <w:b/>
                <w:color w:val="000000"/>
                <w:kern w:val="0"/>
                <w:sz w:val="28"/>
                <w:szCs w:val="28"/>
              </w:rPr>
              <w:t>服  务  内  容</w:t>
            </w:r>
          </w:p>
        </w:tc>
      </w:tr>
      <w:tr>
        <w:tblPrEx>
          <w:tblCellMar>
            <w:top w:w="15" w:type="dxa"/>
            <w:left w:w="15" w:type="dxa"/>
            <w:bottom w:w="15" w:type="dxa"/>
            <w:right w:w="15" w:type="dxa"/>
          </w:tblCellMar>
        </w:tblPrEx>
        <w:trPr>
          <w:cantSplit/>
          <w:trHeight w:val="630" w:hRule="atLeast"/>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28"/>
                <w:szCs w:val="28"/>
              </w:rPr>
            </w:pPr>
          </w:p>
        </w:tc>
        <w:tc>
          <w:tcPr>
            <w:tcW w:w="19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28"/>
                <w:szCs w:val="28"/>
              </w:rPr>
            </w:pPr>
          </w:p>
        </w:tc>
        <w:tc>
          <w:tcPr>
            <w:tcW w:w="13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28"/>
                <w:szCs w:val="28"/>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28"/>
                <w:szCs w:val="28"/>
              </w:rPr>
            </w:pPr>
          </w:p>
        </w:tc>
        <w:tc>
          <w:tcPr>
            <w:tcW w:w="7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000000"/>
                <w:sz w:val="28"/>
                <w:szCs w:val="28"/>
              </w:rPr>
            </w:pPr>
          </w:p>
        </w:tc>
      </w:tr>
      <w:tr>
        <w:tblPrEx>
          <w:tblCellMar>
            <w:top w:w="15" w:type="dxa"/>
            <w:left w:w="15" w:type="dxa"/>
            <w:bottom w:w="15" w:type="dxa"/>
            <w:right w:w="15" w:type="dxa"/>
          </w:tblCellMar>
        </w:tblPrEx>
        <w:trPr>
          <w:cantSplit/>
          <w:trHeight w:val="315" w:hRule="atLeast"/>
          <w:jc w:val="center"/>
        </w:trPr>
        <w:tc>
          <w:tcPr>
            <w:tcW w:w="8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w:t>
            </w:r>
          </w:p>
        </w:tc>
        <w:tc>
          <w:tcPr>
            <w:tcW w:w="19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头面部清洁、梳理</w:t>
            </w:r>
          </w:p>
        </w:tc>
        <w:tc>
          <w:tcPr>
            <w:tcW w:w="13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3次/日</w:t>
            </w: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10-20分钟</w:t>
            </w:r>
          </w:p>
        </w:tc>
        <w:tc>
          <w:tcPr>
            <w:tcW w:w="71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让护理对象选择舒适体位，帮助其清洁面部和梳头，协助联系专业人员为男性护理对象剃须。</w:t>
            </w:r>
          </w:p>
        </w:tc>
      </w:tr>
      <w:tr>
        <w:tblPrEx>
          <w:tblCellMar>
            <w:top w:w="15" w:type="dxa"/>
            <w:left w:w="15" w:type="dxa"/>
            <w:bottom w:w="15" w:type="dxa"/>
            <w:right w:w="15" w:type="dxa"/>
          </w:tblCellMar>
        </w:tblPrEx>
        <w:trPr>
          <w:cantSplit/>
          <w:trHeight w:val="315" w:hRule="atLeast"/>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8"/>
                <w:szCs w:val="28"/>
              </w:rPr>
            </w:pPr>
          </w:p>
        </w:tc>
        <w:tc>
          <w:tcPr>
            <w:tcW w:w="19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8"/>
                <w:szCs w:val="28"/>
              </w:rPr>
            </w:pPr>
          </w:p>
        </w:tc>
        <w:tc>
          <w:tcPr>
            <w:tcW w:w="13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8"/>
                <w:szCs w:val="28"/>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8"/>
                <w:szCs w:val="28"/>
              </w:rPr>
            </w:pPr>
          </w:p>
        </w:tc>
        <w:tc>
          <w:tcPr>
            <w:tcW w:w="7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8"/>
                <w:szCs w:val="28"/>
              </w:rPr>
            </w:pPr>
          </w:p>
        </w:tc>
      </w:tr>
      <w:tr>
        <w:tblPrEx>
          <w:tblCellMar>
            <w:top w:w="15" w:type="dxa"/>
            <w:left w:w="15" w:type="dxa"/>
            <w:bottom w:w="15" w:type="dxa"/>
            <w:right w:w="15" w:type="dxa"/>
          </w:tblCellMar>
        </w:tblPrEx>
        <w:trPr>
          <w:cantSplit/>
          <w:trHeight w:val="90"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洗  发</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1-2次/周</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20-30分钟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让护理对象选择舒适体位，帮助护理对象清洗头发。</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3</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口腔清洁</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2次/日</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 xml:space="preserve">根据护理对象的生活自理能力，鼓励并协助有自理能力或上肢功能良好的半自理护理对象采用漱口、自行刷牙的方法清洁口腔；对不能自理护理对象采用棉棒擦拭、棉球擦拭清洁口腔。 </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指/趾甲护理</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必要时</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10-30分钟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根据护理对象的病情、意识、生活自理能力以及个人卫生习惯，选择合适的工具对指/趾甲适时进行护理。协助联系专业人员处理灰指甲。</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手、足部清洁</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手：3次/天      足：1次/天</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15-30分钟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根据护理对象的病情，手、足部皮肤情况，选择适宜的方法给予清洗手和足部。</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温水擦浴</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夏天：1次/天  冬天：2次/周</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30-60分钟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根据护理对象病情、生活自理能力及皮肤完整性等，选择适当时间进行温水擦浴。</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协助沐浴</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30-60分钟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根据护理对象病情和自理能力选择适宜的沐浴方式，沐浴方式有淋浴、盆浴、坐浴等，在家人等人员的协助下帮助护理对象沐浴。</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协助更衣</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15-30分钟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根据护理对象的病情、意识、肌力、活动和合作能力、有无肢体偏瘫，手术、引流管，选择适合的更衣方法为护理对象穿脱或更换衣物。</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整理床单位</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2次/日</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15-20分钟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为不能自理服务对象采用适宜的方法整理床单位。</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协助如厕</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15-30分钟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根据护理对象病情和自理能力，选择轮椅、助行器、拐杖等不同的移动工具，协助老人如厕。</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11</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排泄护理</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15-30分钟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根据护理对象生活自理能力及活动情况，帮助其在床上使用便器，或者协助使用/更换纸尿裤等尿失禁用品。</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12</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人工取便术</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20-30分钟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协助护理对象使用开塞露润便导泄，或者帮助护理对象用手取出嵌顿在直肠内的粪便。</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13</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会阴护理</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2次/日</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10-20分钟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评估会阴部有无伤口、有无大小便失禁和留置尿管等，鼓励并协助护理对象完成会阴部的擦洗或冲洗。</w:t>
            </w:r>
          </w:p>
        </w:tc>
      </w:tr>
      <w:tr>
        <w:tblPrEx>
          <w:tblCellMar>
            <w:top w:w="15" w:type="dxa"/>
            <w:left w:w="15" w:type="dxa"/>
            <w:bottom w:w="15" w:type="dxa"/>
            <w:right w:w="15" w:type="dxa"/>
          </w:tblCellMar>
        </w:tblPrEx>
        <w:trPr>
          <w:cantSplit/>
          <w:trHeight w:val="738"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14</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失禁照护及指导</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必要时</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10-20分钟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为大小便失禁的护理对象进行护理和指导，保持局部皮肤的清洁，增加护理对象舒适。</w:t>
            </w:r>
          </w:p>
        </w:tc>
      </w:tr>
      <w:tr>
        <w:tblPrEx>
          <w:tblCellMar>
            <w:top w:w="15" w:type="dxa"/>
            <w:left w:w="15" w:type="dxa"/>
            <w:bottom w:w="15" w:type="dxa"/>
            <w:right w:w="15" w:type="dxa"/>
          </w:tblCellMar>
        </w:tblPrEx>
        <w:trPr>
          <w:cantSplit/>
          <w:trHeight w:val="23"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15</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协助进食/水</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3-5次/日</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15-30分钟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根据护理对象的病情、饮食种类、液体出入量、自行进食能力，选择恰当的餐具、进餐体位、食品种类让对象摄入充足的水分和食物。</w:t>
            </w:r>
          </w:p>
        </w:tc>
      </w:tr>
      <w:tr>
        <w:tblPrEx>
          <w:tblCellMar>
            <w:top w:w="15" w:type="dxa"/>
            <w:left w:w="15" w:type="dxa"/>
            <w:bottom w:w="15" w:type="dxa"/>
            <w:right w:w="15" w:type="dxa"/>
          </w:tblCellMar>
        </w:tblPrEx>
        <w:trPr>
          <w:cantSplit/>
          <w:trHeight w:val="23"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16</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协助鼻饲进食</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20-30分钟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对需要鼻饲进食的护理对象，按照其饮食需求协助其进行鼻饲进食，评估家属提供的食物种类、温度、量及鼻饲管位置，选择恰当的注射用具、进餐体位，让服务对象摄入充足的水分和食物。同时妥善固定胃管、指导膳食选择。</w:t>
            </w:r>
          </w:p>
        </w:tc>
      </w:tr>
      <w:tr>
        <w:tblPrEx>
          <w:tblCellMar>
            <w:top w:w="15" w:type="dxa"/>
            <w:left w:w="15" w:type="dxa"/>
            <w:bottom w:w="15" w:type="dxa"/>
            <w:right w:w="15" w:type="dxa"/>
          </w:tblCellMar>
        </w:tblPrEx>
        <w:trPr>
          <w:cantSplit/>
          <w:trHeight w:val="23"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17</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协助床上移动</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15-30分钟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根据护理对象的病情、肢体活动能力、年龄、体重，有无约束、伤口、引流管、骨折和牵引等，协助适度移动。</w:t>
            </w:r>
          </w:p>
        </w:tc>
      </w:tr>
      <w:tr>
        <w:tblPrEx>
          <w:tblCellMar>
            <w:top w:w="15" w:type="dxa"/>
            <w:left w:w="15" w:type="dxa"/>
            <w:bottom w:w="15" w:type="dxa"/>
            <w:right w:w="15" w:type="dxa"/>
          </w:tblCellMar>
        </w:tblPrEx>
        <w:trPr>
          <w:cantSplit/>
          <w:trHeight w:val="23"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18</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借助器具移动</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20-30分钟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根据护理对象病情和需求，选择适宜的移动工具（轮椅等），帮助护理对象在室内或住宅附近进行移动。</w:t>
            </w:r>
          </w:p>
        </w:tc>
      </w:tr>
      <w:tr>
        <w:tblPrEx>
          <w:tblCellMar>
            <w:top w:w="15" w:type="dxa"/>
            <w:left w:w="15" w:type="dxa"/>
            <w:bottom w:w="15" w:type="dxa"/>
            <w:right w:w="15" w:type="dxa"/>
          </w:tblCellMar>
        </w:tblPrEx>
        <w:trPr>
          <w:cantSplit/>
          <w:trHeight w:val="23"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19</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协助翻身叩背排痰</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20-30分钟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根据护理对象的病情、有无手术、引流管、骨折和牵引等，选择合适的翻身频次、体位、方式帮助护理对象翻身拍背，促进排痰。</w:t>
            </w:r>
          </w:p>
        </w:tc>
      </w:tr>
      <w:tr>
        <w:tblPrEx>
          <w:tblCellMar>
            <w:top w:w="15" w:type="dxa"/>
            <w:left w:w="15" w:type="dxa"/>
            <w:bottom w:w="15" w:type="dxa"/>
            <w:right w:w="15" w:type="dxa"/>
          </w:tblCellMar>
        </w:tblPrEx>
        <w:trPr>
          <w:cantSplit/>
          <w:trHeight w:val="23"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协助进行简单的肢体锻炼</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2次/天</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10-20分钟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按照护理对象的病情及自理情况，协助其进行简单的肢体锻炼。在保证安全的情况下，在家属等人员的共同协助下帮助其进行简单的床上或床边活动如肢体按摩（无静脉血栓）、关节的背曲、屈曲、伸展等。</w:t>
            </w:r>
          </w:p>
        </w:tc>
      </w:tr>
      <w:tr>
        <w:tblPrEx>
          <w:tblCellMar>
            <w:top w:w="15" w:type="dxa"/>
            <w:left w:w="15" w:type="dxa"/>
            <w:bottom w:w="15" w:type="dxa"/>
            <w:right w:w="15" w:type="dxa"/>
          </w:tblCellMar>
        </w:tblPrEx>
        <w:trPr>
          <w:cantSplit/>
          <w:trHeight w:val="23"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21</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安全防护及指导</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必要时</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10-20分钟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护理对象的病情、意识、活动能力、生理机能、家庭环境等，做好坠床、跌倒、烫伤、误吸、误食、错服药物等意外的防护。同时对护理对象或其家属进行安全方面的指导。必要时指导护理对象或其家属选择合适的安全保护用具，安全保护用具包括保护手套、保护带（腕带、腰带）、保护床栏、护理垫、保护座椅、保护衣等。</w:t>
            </w:r>
          </w:p>
        </w:tc>
      </w:tr>
      <w:tr>
        <w:tblPrEx>
          <w:tblCellMar>
            <w:top w:w="15" w:type="dxa"/>
            <w:left w:w="15" w:type="dxa"/>
            <w:bottom w:w="15" w:type="dxa"/>
            <w:right w:w="15" w:type="dxa"/>
          </w:tblCellMar>
        </w:tblPrEx>
        <w:trPr>
          <w:cantSplit/>
          <w:trHeight w:val="23"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22</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协助皮肤用药</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按需</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10-20分钟</w:t>
            </w:r>
          </w:p>
        </w:tc>
        <w:tc>
          <w:tcPr>
            <w:tcW w:w="71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8"/>
                <w:szCs w:val="28"/>
              </w:rPr>
            </w:pPr>
            <w:r>
              <w:rPr>
                <w:rFonts w:hint="eastAsia" w:ascii="宋体" w:hAnsi="宋体" w:eastAsia="宋体" w:cs="宋体"/>
                <w:color w:val="000000"/>
                <w:kern w:val="0"/>
                <w:sz w:val="28"/>
                <w:szCs w:val="28"/>
              </w:rPr>
              <w:t>遵医嘱用棉签等蘸取药液直接涂抹在护理对象皮肤上进行治疗。</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E582F"/>
    <w:rsid w:val="39B60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2021-01-05T02:52:46Z</dcterms:created>
  <dc:creator>Administrator</dc:creator>
  <cp:lastModifiedBy>闻钟祈福</cp:lastModifiedBy>
  <dcterms:modified xsi:type="dcterms:W3CDTF">2021-01-05T02:53:59Z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313995789_btnclosed</vt:lpwstr>
  </property>
</Properties>
</file>